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954" w:x="1702" w:y="1550"/>
        <w:widowControl w:val="0"/>
        <w:autoSpaceDE w:val="0"/>
        <w:autoSpaceDN w:val="0"/>
        <w:spacing w:line="211" w:lineRule="exact"/>
        <w:rPr>
          <w:rFonts w:ascii="SimSun" w:hAnsi="Calibri"/>
          <w:color w:val="000000"/>
          <w:sz w:val="21"/>
          <w:szCs w:val="22"/>
          <w:lang w:val="en-US" w:eastAsia="en-US" w:bidi="ar-SA"/>
        </w:rPr>
      </w:pPr>
      <w:r>
        <w:rPr>
          <w:rFonts w:ascii="SimSun" w:hAnsi="SimSun" w:cs="SimSun"/>
          <w:color w:val="000000"/>
          <w:spacing w:val="4"/>
          <w:sz w:val="21"/>
          <w:szCs w:val="22"/>
          <w:lang w:val="en-US" w:eastAsia="en-US" w:bidi="ar-SA"/>
        </w:rPr>
        <w:t>证券代码：</w:t>
      </w:r>
      <w:r>
        <w:rPr>
          <w:rFonts w:ascii="SimSun" w:hAnsi="Calibri"/>
          <w:color w:val="000000"/>
          <w:spacing w:val="3"/>
          <w:sz w:val="21"/>
          <w:szCs w:val="22"/>
          <w:lang w:val="en-US" w:eastAsia="en-US" w:bidi="ar-SA"/>
        </w:rPr>
        <w:t>603086</w:t>
      </w:r>
    </w:p>
    <w:p>
      <w:pPr>
        <w:framePr w:w="2160" w:x="4823" w:y="1550"/>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4"/>
          <w:sz w:val="21"/>
          <w:szCs w:val="22"/>
          <w:lang w:val="en-US" w:eastAsia="en-US" w:bidi="ar-SA"/>
        </w:rPr>
        <w:t>证券简称：先达股份</w:t>
      </w:r>
    </w:p>
    <w:p>
      <w:pPr>
        <w:framePr w:w="2170" w:x="8257" w:y="1550"/>
        <w:widowControl w:val="0"/>
        <w:autoSpaceDE w:val="0"/>
        <w:autoSpaceDN w:val="0"/>
        <w:spacing w:line="211" w:lineRule="exact"/>
        <w:rPr>
          <w:rFonts w:ascii="SimSun" w:hAnsi="Calibri"/>
          <w:color w:val="000000"/>
          <w:sz w:val="21"/>
          <w:szCs w:val="22"/>
          <w:lang w:val="en-US" w:eastAsia="en-US" w:bidi="ar-SA"/>
        </w:rPr>
      </w:pPr>
      <w:r>
        <w:rPr>
          <w:rFonts w:ascii="SimSun" w:hAnsi="SimSun" w:cs="SimSun"/>
          <w:color w:val="000000"/>
          <w:spacing w:val="4"/>
          <w:sz w:val="21"/>
          <w:szCs w:val="22"/>
          <w:lang w:val="en-US" w:eastAsia="en-US" w:bidi="ar-SA"/>
        </w:rPr>
        <w:t>公告编号：</w:t>
      </w:r>
      <w:r>
        <w:rPr>
          <w:rFonts w:ascii="SimSun" w:hAnsi="Calibri"/>
          <w:color w:val="000000"/>
          <w:spacing w:val="3"/>
          <w:sz w:val="21"/>
          <w:szCs w:val="22"/>
          <w:lang w:val="en-US" w:eastAsia="en-US" w:bidi="ar-SA"/>
        </w:rPr>
        <w:t>2021-027</w:t>
      </w:r>
    </w:p>
    <w:p>
      <w:pPr>
        <w:framePr w:w="7412" w:x="2367" w:y="2217"/>
        <w:widowControl w:val="0"/>
        <w:autoSpaceDE w:val="0"/>
        <w:autoSpaceDN w:val="0"/>
        <w:spacing w:line="281" w:lineRule="exact"/>
        <w:rPr>
          <w:rFonts w:hAnsi="Calibri"/>
          <w:color w:val="000000"/>
          <w:sz w:val="28"/>
          <w:szCs w:val="22"/>
          <w:lang w:val="en-US" w:eastAsia="en-US" w:bidi="ar-SA"/>
        </w:rPr>
      </w:pPr>
      <w:r>
        <w:rPr>
          <w:rFonts w:ascii="SimHei" w:hAnsi="SimHei" w:cs="SimHei"/>
          <w:color w:val="FF0000"/>
          <w:spacing w:val="1"/>
          <w:sz w:val="28"/>
          <w:szCs w:val="22"/>
          <w:lang w:val="en-US" w:eastAsia="en-US" w:bidi="ar-SA"/>
        </w:rPr>
        <w:t>山东先达农化股份有限公司</w:t>
      </w:r>
      <w:r>
        <w:rPr>
          <w:rFonts w:hAnsi="Calibri"/>
          <w:color w:val="FF0000"/>
          <w:spacing w:val="2"/>
          <w:sz w:val="28"/>
          <w:szCs w:val="22"/>
          <w:lang w:val="en-US" w:eastAsia="en-US" w:bidi="ar-SA"/>
        </w:rPr>
        <w:t xml:space="preserve"> </w:t>
      </w:r>
      <w:r>
        <w:rPr>
          <w:rFonts w:ascii="SimHei" w:hAnsi="Calibri"/>
          <w:color w:val="FF0000"/>
          <w:sz w:val="28"/>
          <w:szCs w:val="22"/>
          <w:lang w:val="en-US" w:eastAsia="en-US" w:bidi="ar-SA"/>
        </w:rPr>
        <w:t>2020</w:t>
      </w:r>
      <w:r>
        <w:rPr>
          <w:rFonts w:ascii="SimHei" w:hAnsi="SimHei" w:cs="SimHei"/>
          <w:color w:val="FF0000"/>
          <w:spacing w:val="1"/>
          <w:sz w:val="28"/>
          <w:szCs w:val="22"/>
          <w:lang w:val="en-US" w:eastAsia="en-US" w:bidi="ar-SA"/>
        </w:rPr>
        <w:t>年年度权益分派实施公告</w:t>
      </w:r>
    </w:p>
    <w:p>
      <w:pPr>
        <w:framePr w:w="8739" w:x="1702" w:y="3120"/>
        <w:widowControl w:val="0"/>
        <w:autoSpaceDE w:val="0"/>
        <w:autoSpaceDN w:val="0"/>
        <w:spacing w:line="211" w:lineRule="exact"/>
        <w:ind w:left="422"/>
        <w:rPr>
          <w:rFonts w:hAnsi="Calibri"/>
          <w:color w:val="000000"/>
          <w:sz w:val="21"/>
          <w:szCs w:val="22"/>
          <w:lang w:val="en-US" w:eastAsia="en-US" w:bidi="ar-SA"/>
        </w:rPr>
      </w:pPr>
      <w:r>
        <w:rPr>
          <w:rFonts w:ascii="FangSong" w:hAnsi="FangSong" w:cs="FangSong"/>
          <w:color w:val="000000"/>
          <w:spacing w:val="3"/>
          <w:sz w:val="21"/>
          <w:szCs w:val="22"/>
          <w:lang w:val="en-US" w:eastAsia="en-US" w:bidi="ar-SA"/>
        </w:rPr>
        <w:t>本公司董事会及全体董事保证本公告内容不存在任何虚假记载、误导性陈述或者重大遗</w:t>
      </w:r>
    </w:p>
    <w:p>
      <w:pPr>
        <w:framePr w:w="8739" w:x="1702" w:y="3120"/>
        <w:widowControl w:val="0"/>
        <w:autoSpaceDE w:val="0"/>
        <w:autoSpaceDN w:val="0"/>
        <w:spacing w:before="257" w:line="211" w:lineRule="exact"/>
        <w:rPr>
          <w:rFonts w:hAnsi="Calibri"/>
          <w:color w:val="000000"/>
          <w:sz w:val="21"/>
          <w:szCs w:val="22"/>
          <w:lang w:val="en-US" w:eastAsia="en-US" w:bidi="ar-SA"/>
        </w:rPr>
      </w:pPr>
      <w:r>
        <w:rPr>
          <w:rFonts w:ascii="FangSong" w:hAnsi="FangSong" w:cs="FangSong"/>
          <w:color w:val="000000"/>
          <w:sz w:val="21"/>
          <w:szCs w:val="22"/>
          <w:lang w:val="en-US" w:eastAsia="en-US" w:bidi="ar-SA"/>
        </w:rPr>
        <w:t>漏，并对其内容的真实性、准确性和完整性承担个别及连带责任。</w:t>
      </w:r>
    </w:p>
    <w:p>
      <w:pPr>
        <w:framePr w:w="1718" w:x="1798" w:y="437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重要内容提示：</w:t>
      </w:r>
    </w:p>
    <w:p>
      <w:pPr>
        <w:framePr w:w="419" w:x="1702" w:y="4967"/>
        <w:widowControl w:val="0"/>
        <w:autoSpaceDE w:val="0"/>
        <w:autoSpaceDN w:val="0"/>
        <w:spacing w:line="266" w:lineRule="exact"/>
        <w:rPr>
          <w:rFonts w:hAnsi="Calibri"/>
          <w:color w:val="000000"/>
          <w:szCs w:val="22"/>
          <w:lang w:val="en-US" w:eastAsia="en-US" w:bidi="ar-SA"/>
        </w:rPr>
      </w:pPr>
      <w:r>
        <w:rPr>
          <w:rFonts w:ascii="Wingdings" w:hAnsi="Wingdings" w:cs="Wingdings"/>
          <w:color w:val="000000"/>
          <w:szCs w:val="22"/>
          <w:lang w:val="en-US" w:eastAsia="en-US" w:bidi="ar-SA"/>
        </w:rPr>
        <w:sym w:font="Wingdings" w:char="F06C"/>
      </w:r>
    </w:p>
    <w:p>
      <w:pPr>
        <w:framePr w:w="419" w:x="1702" w:y="4967"/>
        <w:widowControl w:val="0"/>
        <w:autoSpaceDE w:val="0"/>
        <w:autoSpaceDN w:val="0"/>
        <w:spacing w:before="1606" w:line="266" w:lineRule="exact"/>
        <w:rPr>
          <w:rFonts w:hAnsi="Calibri"/>
          <w:color w:val="000000"/>
          <w:szCs w:val="22"/>
          <w:lang w:val="en-US" w:eastAsia="en-US" w:bidi="ar-SA"/>
        </w:rPr>
      </w:pPr>
      <w:r>
        <w:rPr>
          <w:rFonts w:ascii="Wingdings" w:hAnsi="Wingdings" w:cs="Wingdings"/>
          <w:color w:val="000000"/>
          <w:szCs w:val="22"/>
          <w:lang w:val="en-US" w:eastAsia="en-US" w:bidi="ar-SA"/>
        </w:rPr>
        <w:sym w:font="Wingdings" w:char="F06C"/>
      </w:r>
    </w:p>
    <w:p>
      <w:pPr>
        <w:framePr w:w="419" w:x="1702" w:y="4967"/>
        <w:widowControl w:val="0"/>
        <w:autoSpaceDE w:val="0"/>
        <w:autoSpaceDN w:val="0"/>
        <w:spacing w:before="1642" w:line="266" w:lineRule="exact"/>
        <w:rPr>
          <w:rFonts w:hAnsi="Calibri"/>
          <w:color w:val="000000"/>
          <w:szCs w:val="22"/>
          <w:lang w:val="en-US" w:eastAsia="en-US" w:bidi="ar-SA"/>
        </w:rPr>
      </w:pPr>
      <w:r>
        <w:rPr>
          <w:rFonts w:ascii="Wingdings" w:hAnsi="Wingdings" w:cs="Wingdings"/>
          <w:color w:val="000000"/>
          <w:szCs w:val="22"/>
          <w:lang w:val="en-US" w:eastAsia="en-US" w:bidi="ar-SA"/>
        </w:rPr>
        <w:sym w:font="Wingdings" w:char="F06C"/>
      </w:r>
    </w:p>
    <w:p>
      <w:pPr>
        <w:framePr w:w="2986" w:x="2122" w:y="5001"/>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每股分配比例，每股转增比例</w:t>
      </w:r>
    </w:p>
    <w:p>
      <w:pPr>
        <w:framePr w:w="2986" w:x="2122" w:y="5001"/>
        <w:widowControl w:val="0"/>
        <w:autoSpaceDE w:val="0"/>
        <w:autoSpaceDN w:val="0"/>
        <w:spacing w:before="413" w:line="211" w:lineRule="exact"/>
        <w:rPr>
          <w:rFonts w:hAnsi="Calibri"/>
          <w:color w:val="000000"/>
          <w:sz w:val="21"/>
          <w:szCs w:val="22"/>
          <w:lang w:val="en-US" w:eastAsia="en-US" w:bidi="ar-SA"/>
        </w:rPr>
      </w:pPr>
      <w:r>
        <w:rPr>
          <w:rFonts w:ascii="SimSun" w:hAnsi="Calibri"/>
          <w:color w:val="000000"/>
          <w:spacing w:val="53"/>
          <w:sz w:val="21"/>
          <w:szCs w:val="22"/>
          <w:lang w:val="en-US" w:eastAsia="en-US" w:bidi="ar-SA"/>
        </w:rPr>
        <w:t>A</w:t>
      </w:r>
      <w:r>
        <w:rPr>
          <w:rFonts w:ascii="SimSun" w:hAnsi="SimSun" w:cs="SimSun"/>
          <w:color w:val="000000"/>
          <w:sz w:val="21"/>
          <w:szCs w:val="22"/>
          <w:lang w:val="en-US" w:eastAsia="en-US" w:bidi="ar-SA"/>
        </w:rPr>
        <w:t>股每股现金红利</w:t>
      </w:r>
      <w:r>
        <w:rPr>
          <w:rFonts w:hAnsi="Calibri"/>
          <w:color w:val="000000"/>
          <w:spacing w:val="2"/>
          <w:sz w:val="21"/>
          <w:szCs w:val="22"/>
          <w:lang w:val="en-US" w:eastAsia="en-US" w:bidi="ar-SA"/>
        </w:rPr>
        <w:t xml:space="preserve"> </w:t>
      </w:r>
      <w:r>
        <w:rPr>
          <w:rFonts w:ascii="SimSun" w:hAnsi="Calibri"/>
          <w:color w:val="000000"/>
          <w:sz w:val="21"/>
          <w:szCs w:val="22"/>
          <w:lang w:val="en-US" w:eastAsia="en-US" w:bidi="ar-SA"/>
        </w:rPr>
        <w:t>0.35</w:t>
      </w:r>
      <w:r>
        <w:rPr>
          <w:rFonts w:ascii="SimSun" w:hAnsi="SimSun" w:cs="SimSun"/>
          <w:color w:val="000000"/>
          <w:sz w:val="21"/>
          <w:szCs w:val="22"/>
          <w:lang w:val="en-US" w:eastAsia="en-US" w:bidi="ar-SA"/>
        </w:rPr>
        <w:t>元</w:t>
      </w:r>
    </w:p>
    <w:p>
      <w:pPr>
        <w:framePr w:w="2986" w:x="2122" w:y="5001"/>
        <w:widowControl w:val="0"/>
        <w:autoSpaceDE w:val="0"/>
        <w:autoSpaceDN w:val="0"/>
        <w:spacing w:before="413"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每股转增股份</w:t>
      </w:r>
      <w:r>
        <w:rPr>
          <w:rFonts w:hAnsi="Calibri"/>
          <w:color w:val="000000"/>
          <w:spacing w:val="1"/>
          <w:sz w:val="21"/>
          <w:szCs w:val="22"/>
          <w:lang w:val="en-US" w:eastAsia="en-US" w:bidi="ar-SA"/>
        </w:rPr>
        <w:t xml:space="preserve"> </w:t>
      </w:r>
      <w:r>
        <w:rPr>
          <w:rFonts w:ascii="SimSun" w:hAnsi="Calibri"/>
          <w:color w:val="000000"/>
          <w:sz w:val="21"/>
          <w:szCs w:val="22"/>
          <w:lang w:val="en-US" w:eastAsia="en-US" w:bidi="ar-SA"/>
        </w:rPr>
        <w:t>0.40</w:t>
      </w:r>
      <w:r>
        <w:rPr>
          <w:rFonts w:ascii="SimSun" w:hAnsi="SimSun" w:cs="SimSun"/>
          <w:color w:val="000000"/>
          <w:sz w:val="21"/>
          <w:szCs w:val="22"/>
          <w:lang w:val="en-US" w:eastAsia="en-US" w:bidi="ar-SA"/>
        </w:rPr>
        <w:t>股</w:t>
      </w:r>
    </w:p>
    <w:p>
      <w:pPr>
        <w:framePr w:w="2986" w:x="2122" w:y="5001"/>
        <w:widowControl w:val="0"/>
        <w:autoSpaceDE w:val="0"/>
        <w:autoSpaceDN w:val="0"/>
        <w:spacing w:before="413"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相关日期</w:t>
      </w:r>
    </w:p>
    <w:p>
      <w:pPr>
        <w:framePr w:w="1296" w:x="7607" w:y="7275"/>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新增无限售</w:t>
      </w:r>
    </w:p>
    <w:p>
      <w:pPr>
        <w:framePr w:w="1296" w:x="9062" w:y="7431"/>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现金红利发</w:t>
      </w:r>
    </w:p>
    <w:p>
      <w:pPr>
        <w:framePr w:w="1296" w:x="9062" w:y="7431"/>
        <w:widowControl w:val="0"/>
        <w:autoSpaceDE w:val="0"/>
        <w:autoSpaceDN w:val="0"/>
        <w:spacing w:before="101" w:line="211" w:lineRule="exact"/>
        <w:ind w:left="317"/>
        <w:rPr>
          <w:rFonts w:hAnsi="Calibri"/>
          <w:color w:val="000000"/>
          <w:sz w:val="21"/>
          <w:szCs w:val="22"/>
          <w:lang w:val="en-US" w:eastAsia="en-US" w:bidi="ar-SA"/>
        </w:rPr>
      </w:pPr>
      <w:r>
        <w:rPr>
          <w:rFonts w:ascii="SimSun" w:hAnsi="SimSun" w:cs="SimSun"/>
          <w:color w:val="000000"/>
          <w:spacing w:val="1"/>
          <w:sz w:val="21"/>
          <w:szCs w:val="22"/>
          <w:lang w:val="en-US" w:eastAsia="en-US" w:bidi="ar-SA"/>
        </w:rPr>
        <w:t>放日</w:t>
      </w:r>
    </w:p>
    <w:p>
      <w:pPr>
        <w:framePr w:w="1085" w:x="1899" w:y="758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股份类别</w:t>
      </w:r>
    </w:p>
    <w:p>
      <w:pPr>
        <w:framePr w:w="1085" w:x="1899" w:y="7587"/>
        <w:widowControl w:val="0"/>
        <w:autoSpaceDE w:val="0"/>
        <w:autoSpaceDN w:val="0"/>
        <w:spacing w:before="425" w:line="211" w:lineRule="exact"/>
        <w:ind w:left="211"/>
        <w:rPr>
          <w:rFonts w:hAnsi="Calibri"/>
          <w:color w:val="000000"/>
          <w:sz w:val="21"/>
          <w:szCs w:val="22"/>
          <w:lang w:val="en-US" w:eastAsia="en-US" w:bidi="ar-SA"/>
        </w:rPr>
      </w:pPr>
      <w:r>
        <w:rPr>
          <w:rFonts w:ascii="SimSun" w:hAnsi="SimSun" w:cs="SimSun"/>
          <w:color w:val="000000"/>
          <w:spacing w:val="1"/>
          <w:sz w:val="21"/>
          <w:szCs w:val="22"/>
          <w:lang w:val="en-US" w:eastAsia="en-US" w:bidi="ar-SA"/>
        </w:rPr>
        <w:t>Ａ股</w:t>
      </w:r>
    </w:p>
    <w:p>
      <w:pPr>
        <w:framePr w:w="1296" w:x="3248" w:y="758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股权登记日</w:t>
      </w:r>
    </w:p>
    <w:p>
      <w:pPr>
        <w:framePr w:w="4200" w:x="4700" w:y="758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最后交易日</w:t>
      </w:r>
      <w:r>
        <w:rPr>
          <w:rFonts w:hAnsi="Calibri"/>
          <w:color w:val="000000"/>
          <w:spacing w:val="255"/>
          <w:sz w:val="21"/>
          <w:szCs w:val="22"/>
          <w:lang w:val="en-US" w:eastAsia="en-US" w:bidi="ar-SA"/>
        </w:rPr>
        <w:t xml:space="preserve"> </w:t>
      </w:r>
      <w:r>
        <w:rPr>
          <w:rFonts w:ascii="SimSun" w:hAnsi="SimSun" w:cs="SimSun"/>
          <w:color w:val="000000"/>
          <w:spacing w:val="-4"/>
          <w:sz w:val="21"/>
          <w:szCs w:val="22"/>
          <w:lang w:val="en-US" w:eastAsia="en-US" w:bidi="ar-SA"/>
        </w:rPr>
        <w:t>除权（息）日</w:t>
      </w:r>
      <w:r>
        <w:rPr>
          <w:rFonts w:hAnsi="Calibri"/>
          <w:color w:val="000000"/>
          <w:spacing w:val="258"/>
          <w:sz w:val="21"/>
          <w:szCs w:val="22"/>
          <w:lang w:val="en-US" w:eastAsia="en-US" w:bidi="ar-SA"/>
        </w:rPr>
        <w:t xml:space="preserve"> </w:t>
      </w:r>
      <w:r>
        <w:rPr>
          <w:rFonts w:ascii="SimSun" w:hAnsi="SimSun" w:cs="SimSun"/>
          <w:color w:val="000000"/>
          <w:spacing w:val="1"/>
          <w:sz w:val="21"/>
          <w:szCs w:val="22"/>
          <w:lang w:val="en-US" w:eastAsia="en-US" w:bidi="ar-SA"/>
        </w:rPr>
        <w:t>条件流通股</w:t>
      </w:r>
    </w:p>
    <w:p>
      <w:pPr>
        <w:framePr w:w="4200" w:x="4700" w:y="7587"/>
        <w:widowControl w:val="0"/>
        <w:autoSpaceDE w:val="0"/>
        <w:autoSpaceDN w:val="0"/>
        <w:spacing w:before="101" w:line="211" w:lineRule="exact"/>
        <w:ind w:left="3012"/>
        <w:rPr>
          <w:rFonts w:hAnsi="Calibri"/>
          <w:color w:val="000000"/>
          <w:sz w:val="21"/>
          <w:szCs w:val="22"/>
          <w:lang w:val="en-US" w:eastAsia="en-US" w:bidi="ar-SA"/>
        </w:rPr>
      </w:pPr>
      <w:r>
        <w:rPr>
          <w:rFonts w:ascii="SimSun" w:hAnsi="SimSun" w:cs="SimSun"/>
          <w:color w:val="000000"/>
          <w:sz w:val="21"/>
          <w:szCs w:val="22"/>
          <w:lang w:val="en-US" w:eastAsia="en-US" w:bidi="ar-SA"/>
        </w:rPr>
        <w:t>份上市日</w:t>
      </w:r>
    </w:p>
    <w:p>
      <w:pPr>
        <w:framePr w:w="1085" w:x="3552" w:y="8223"/>
        <w:widowControl w:val="0"/>
        <w:autoSpaceDE w:val="0"/>
        <w:autoSpaceDN w:val="0"/>
        <w:spacing w:line="211" w:lineRule="exact"/>
        <w:rPr>
          <w:rFonts w:ascii="SimSun" w:hAnsi="Calibri"/>
          <w:color w:val="000000"/>
          <w:sz w:val="21"/>
          <w:szCs w:val="22"/>
          <w:lang w:val="en-US" w:eastAsia="en-US" w:bidi="ar-SA"/>
        </w:rPr>
      </w:pPr>
      <w:r>
        <w:rPr>
          <w:rFonts w:ascii="SimSun" w:hAnsi="Calibri"/>
          <w:color w:val="000000"/>
          <w:sz w:val="21"/>
          <w:szCs w:val="22"/>
          <w:lang w:val="en-US" w:eastAsia="en-US" w:bidi="ar-SA"/>
        </w:rPr>
        <w:t>2021/6/8</w:t>
      </w:r>
    </w:p>
    <w:p>
      <w:pPr>
        <w:framePr w:w="451" w:x="5120" w:y="8223"/>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w:t>
      </w:r>
    </w:p>
    <w:p>
      <w:pPr>
        <w:framePr w:w="1085" w:x="6460" w:y="8223"/>
        <w:widowControl w:val="0"/>
        <w:autoSpaceDE w:val="0"/>
        <w:autoSpaceDN w:val="0"/>
        <w:spacing w:line="211" w:lineRule="exact"/>
        <w:rPr>
          <w:rFonts w:ascii="SimSun" w:hAnsi="Calibri"/>
          <w:color w:val="000000"/>
          <w:sz w:val="21"/>
          <w:szCs w:val="22"/>
          <w:lang w:val="en-US" w:eastAsia="en-US" w:bidi="ar-SA"/>
        </w:rPr>
      </w:pPr>
      <w:r>
        <w:rPr>
          <w:rFonts w:ascii="SimSun" w:hAnsi="Calibri"/>
          <w:color w:val="000000"/>
          <w:sz w:val="21"/>
          <w:szCs w:val="22"/>
          <w:lang w:val="en-US" w:eastAsia="en-US" w:bidi="ar-SA"/>
        </w:rPr>
        <w:t>2021/6/9</w:t>
      </w:r>
    </w:p>
    <w:p>
      <w:pPr>
        <w:framePr w:w="1190" w:x="7806" w:y="8223"/>
        <w:widowControl w:val="0"/>
        <w:autoSpaceDE w:val="0"/>
        <w:autoSpaceDN w:val="0"/>
        <w:spacing w:line="211" w:lineRule="exact"/>
        <w:rPr>
          <w:rFonts w:ascii="SimSun" w:hAnsi="Calibri"/>
          <w:color w:val="000000"/>
          <w:sz w:val="21"/>
          <w:szCs w:val="22"/>
          <w:lang w:val="en-US" w:eastAsia="en-US" w:bidi="ar-SA"/>
        </w:rPr>
      </w:pPr>
      <w:r>
        <w:rPr>
          <w:rFonts w:ascii="SimSun" w:hAnsi="Calibri"/>
          <w:color w:val="000000"/>
          <w:sz w:val="21"/>
          <w:szCs w:val="22"/>
          <w:lang w:val="en-US" w:eastAsia="en-US" w:bidi="ar-SA"/>
        </w:rPr>
        <w:t>2021/6/10</w:t>
      </w:r>
    </w:p>
    <w:p>
      <w:pPr>
        <w:framePr w:w="1085" w:x="9367" w:y="8223"/>
        <w:widowControl w:val="0"/>
        <w:autoSpaceDE w:val="0"/>
        <w:autoSpaceDN w:val="0"/>
        <w:spacing w:line="211" w:lineRule="exact"/>
        <w:rPr>
          <w:rFonts w:ascii="SimSun" w:hAnsi="Calibri"/>
          <w:color w:val="000000"/>
          <w:sz w:val="21"/>
          <w:szCs w:val="22"/>
          <w:lang w:val="en-US" w:eastAsia="en-US" w:bidi="ar-SA"/>
        </w:rPr>
      </w:pPr>
      <w:r>
        <w:rPr>
          <w:rFonts w:ascii="SimSun" w:hAnsi="Calibri"/>
          <w:color w:val="000000"/>
          <w:sz w:val="21"/>
          <w:szCs w:val="22"/>
          <w:lang w:val="en-US" w:eastAsia="en-US" w:bidi="ar-SA"/>
        </w:rPr>
        <w:t>2021/6/9</w:t>
      </w:r>
    </w:p>
    <w:p>
      <w:pPr>
        <w:framePr w:w="2237" w:x="2122" w:y="8782"/>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差异化分红送转：</w:t>
      </w:r>
      <w:r>
        <w:rPr>
          <w:rFonts w:hAnsi="Calibri"/>
          <w:color w:val="000000"/>
          <w:spacing w:val="52"/>
          <w:sz w:val="21"/>
          <w:szCs w:val="22"/>
          <w:lang w:val="en-US" w:eastAsia="en-US" w:bidi="ar-SA"/>
        </w:rPr>
        <w:t xml:space="preserve"> </w:t>
      </w:r>
      <w:r>
        <w:rPr>
          <w:rFonts w:ascii="SimSun" w:hAnsi="SimSun" w:cs="SimSun"/>
          <w:color w:val="000000"/>
          <w:sz w:val="21"/>
          <w:szCs w:val="22"/>
          <w:lang w:val="en-US" w:eastAsia="en-US" w:bidi="ar-SA"/>
        </w:rPr>
        <w:t>否</w:t>
      </w:r>
    </w:p>
    <w:p>
      <w:pPr>
        <w:framePr w:w="5098" w:x="1702" w:y="9406"/>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一、通过分配、转增股本方案的股东大会届次和日期</w:t>
      </w:r>
    </w:p>
    <w:p>
      <w:pPr>
        <w:framePr w:w="8435" w:x="2122" w:y="10030"/>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本次利润分配及转增股本方案经公司</w:t>
      </w:r>
      <w:r>
        <w:rPr>
          <w:rFonts w:hAnsi="Calibri"/>
          <w:color w:val="000000"/>
          <w:spacing w:val="-13"/>
          <w:sz w:val="21"/>
          <w:szCs w:val="22"/>
          <w:lang w:val="en-US" w:eastAsia="en-US" w:bidi="ar-SA"/>
        </w:rPr>
        <w:t xml:space="preserve"> </w:t>
      </w:r>
      <w:r>
        <w:rPr>
          <w:rFonts w:ascii="SimSun" w:hAnsi="Calibri"/>
          <w:color w:val="000000"/>
          <w:sz w:val="21"/>
          <w:szCs w:val="22"/>
          <w:lang w:val="en-US" w:eastAsia="en-US" w:bidi="ar-SA"/>
        </w:rPr>
        <w:t>2021</w:t>
      </w:r>
      <w:r>
        <w:rPr>
          <w:rFonts w:ascii="SimSun" w:hAnsi="SimSun" w:cs="SimSun"/>
          <w:color w:val="000000"/>
          <w:sz w:val="21"/>
          <w:szCs w:val="22"/>
          <w:lang w:val="en-US" w:eastAsia="en-US" w:bidi="ar-SA"/>
        </w:rPr>
        <w:t>年</w:t>
      </w:r>
      <w:r>
        <w:rPr>
          <w:rFonts w:hAnsi="Calibri"/>
          <w:color w:val="000000"/>
          <w:spacing w:val="-13"/>
          <w:sz w:val="21"/>
          <w:szCs w:val="22"/>
          <w:lang w:val="en-US" w:eastAsia="en-US" w:bidi="ar-SA"/>
        </w:rPr>
        <w:t xml:space="preserve"> </w:t>
      </w:r>
      <w:r>
        <w:rPr>
          <w:rFonts w:ascii="SimSun" w:hAnsi="Calibri"/>
          <w:color w:val="000000"/>
          <w:spacing w:val="39"/>
          <w:sz w:val="21"/>
          <w:szCs w:val="22"/>
          <w:lang w:val="en-US" w:eastAsia="en-US" w:bidi="ar-SA"/>
        </w:rPr>
        <w:t>5</w:t>
      </w:r>
      <w:r>
        <w:rPr>
          <w:rFonts w:ascii="SimSun" w:hAnsi="SimSun" w:cs="SimSun"/>
          <w:color w:val="000000"/>
          <w:sz w:val="21"/>
          <w:szCs w:val="22"/>
          <w:lang w:val="en-US" w:eastAsia="en-US" w:bidi="ar-SA"/>
        </w:rPr>
        <w:t>月</w:t>
      </w:r>
      <w:r>
        <w:rPr>
          <w:rFonts w:hAnsi="Calibri"/>
          <w:color w:val="000000"/>
          <w:spacing w:val="-13"/>
          <w:sz w:val="21"/>
          <w:szCs w:val="22"/>
          <w:lang w:val="en-US" w:eastAsia="en-US" w:bidi="ar-SA"/>
        </w:rPr>
        <w:t xml:space="preserve"> </w:t>
      </w:r>
      <w:r>
        <w:rPr>
          <w:rFonts w:ascii="SimSun" w:hAnsi="Calibri"/>
          <w:color w:val="000000"/>
          <w:sz w:val="21"/>
          <w:szCs w:val="22"/>
          <w:lang w:val="en-US" w:eastAsia="en-US" w:bidi="ar-SA"/>
        </w:rPr>
        <w:t>21</w:t>
      </w:r>
      <w:r>
        <w:rPr>
          <w:rFonts w:ascii="SimSun" w:hAnsi="SimSun" w:cs="SimSun"/>
          <w:color w:val="000000"/>
          <w:spacing w:val="1"/>
          <w:sz w:val="21"/>
          <w:szCs w:val="22"/>
          <w:lang w:val="en-US" w:eastAsia="en-US" w:bidi="ar-SA"/>
        </w:rPr>
        <w:t>日的</w:t>
      </w:r>
      <w:r>
        <w:rPr>
          <w:rFonts w:hAnsi="Calibri"/>
          <w:color w:val="000000"/>
          <w:spacing w:val="-14"/>
          <w:sz w:val="21"/>
          <w:szCs w:val="22"/>
          <w:lang w:val="en-US" w:eastAsia="en-US" w:bidi="ar-SA"/>
        </w:rPr>
        <w:t xml:space="preserve"> </w:t>
      </w:r>
      <w:r>
        <w:rPr>
          <w:rFonts w:ascii="SimSun" w:hAnsi="Calibri"/>
          <w:color w:val="000000"/>
          <w:sz w:val="21"/>
          <w:szCs w:val="22"/>
          <w:lang w:val="en-US" w:eastAsia="en-US" w:bidi="ar-SA"/>
        </w:rPr>
        <w:t>2020</w:t>
      </w:r>
      <w:r>
        <w:rPr>
          <w:rFonts w:ascii="SimSun" w:hAnsi="SimSun" w:cs="SimSun"/>
          <w:color w:val="000000"/>
          <w:sz w:val="21"/>
          <w:szCs w:val="22"/>
          <w:lang w:val="en-US" w:eastAsia="en-US" w:bidi="ar-SA"/>
        </w:rPr>
        <w:t>年年度股东大会审议通过。</w:t>
      </w:r>
    </w:p>
    <w:p>
      <w:pPr>
        <w:framePr w:w="2816" w:x="1702" w:y="10654"/>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二、分配、转增股本方案</w:t>
      </w:r>
    </w:p>
    <w:p>
      <w:pPr>
        <w:framePr w:w="2816" w:x="1702" w:y="10654"/>
        <w:widowControl w:val="0"/>
        <w:autoSpaceDE w:val="0"/>
        <w:autoSpaceDN w:val="0"/>
        <w:spacing w:before="413"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1.</w:t>
      </w:r>
      <w:r>
        <w:rPr>
          <w:rFonts w:ascii="SimSun" w:hAnsi="Calibri"/>
          <w:color w:val="000000"/>
          <w:spacing w:val="104"/>
          <w:sz w:val="21"/>
          <w:szCs w:val="22"/>
          <w:lang w:val="en-US" w:eastAsia="en-US" w:bidi="ar-SA"/>
        </w:rPr>
        <w:t xml:space="preserve"> </w:t>
      </w:r>
      <w:r>
        <w:rPr>
          <w:rFonts w:ascii="SimSun" w:hAnsi="SimSun" w:cs="SimSun"/>
          <w:color w:val="000000"/>
          <w:sz w:val="21"/>
          <w:szCs w:val="22"/>
          <w:lang w:val="en-US" w:eastAsia="en-US" w:bidi="ar-SA"/>
        </w:rPr>
        <w:t>发放年度：</w:t>
      </w:r>
      <w:r>
        <w:rPr>
          <w:rFonts w:ascii="SimSun" w:hAnsi="Calibri"/>
          <w:color w:val="000000"/>
          <w:sz w:val="21"/>
          <w:szCs w:val="22"/>
          <w:lang w:val="en-US" w:eastAsia="en-US" w:bidi="ar-SA"/>
        </w:rPr>
        <w:t>2020</w:t>
      </w:r>
      <w:r>
        <w:rPr>
          <w:rFonts w:ascii="SimSun" w:hAnsi="SimSun" w:cs="SimSun"/>
          <w:color w:val="000000"/>
          <w:sz w:val="21"/>
          <w:szCs w:val="22"/>
          <w:lang w:val="en-US" w:eastAsia="en-US" w:bidi="ar-SA"/>
        </w:rPr>
        <w:t>年年度</w:t>
      </w:r>
    </w:p>
    <w:p>
      <w:pPr>
        <w:framePr w:w="2816" w:x="1702" w:y="10654"/>
        <w:widowControl w:val="0"/>
        <w:autoSpaceDE w:val="0"/>
        <w:autoSpaceDN w:val="0"/>
        <w:spacing w:before="413"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2.</w:t>
      </w:r>
      <w:r>
        <w:rPr>
          <w:rFonts w:ascii="SimSun" w:hAnsi="Calibri"/>
          <w:color w:val="000000"/>
          <w:spacing w:val="104"/>
          <w:sz w:val="21"/>
          <w:szCs w:val="22"/>
          <w:lang w:val="en-US" w:eastAsia="en-US" w:bidi="ar-SA"/>
        </w:rPr>
        <w:t xml:space="preserve"> </w:t>
      </w:r>
      <w:r>
        <w:rPr>
          <w:rFonts w:ascii="SimSun" w:hAnsi="SimSun" w:cs="SimSun"/>
          <w:color w:val="000000"/>
          <w:spacing w:val="1"/>
          <w:sz w:val="21"/>
          <w:szCs w:val="22"/>
          <w:lang w:val="en-US" w:eastAsia="en-US" w:bidi="ar-SA"/>
        </w:rPr>
        <w:t>分派对象：</w:t>
      </w:r>
    </w:p>
    <w:p>
      <w:pPr>
        <w:framePr w:w="8736" w:x="1702" w:y="12527"/>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pacing w:val="3"/>
          <w:sz w:val="21"/>
          <w:szCs w:val="22"/>
          <w:lang w:val="en-US" w:eastAsia="en-US" w:bidi="ar-SA"/>
        </w:rPr>
        <w:t>截至股权登记日下午上海证券交易所收市后，在中国证券登记结算有限责任公司上海分</w:t>
      </w:r>
    </w:p>
    <w:p>
      <w:pPr>
        <w:framePr w:w="8736" w:x="1702" w:y="12527"/>
        <w:widowControl w:val="0"/>
        <w:autoSpaceDE w:val="0"/>
        <w:autoSpaceDN w:val="0"/>
        <w:spacing w:before="257" w:line="211" w:lineRule="exact"/>
        <w:rPr>
          <w:rFonts w:hAnsi="Calibri"/>
          <w:color w:val="000000"/>
          <w:sz w:val="21"/>
          <w:szCs w:val="22"/>
          <w:lang w:val="en-US" w:eastAsia="en-US" w:bidi="ar-SA"/>
        </w:rPr>
      </w:pPr>
      <w:r>
        <w:rPr>
          <w:rFonts w:ascii="SimSun" w:hAnsi="SimSun" w:cs="SimSun"/>
          <w:color w:val="000000"/>
          <w:spacing w:val="-3"/>
          <w:sz w:val="21"/>
          <w:szCs w:val="22"/>
          <w:lang w:val="en-US" w:eastAsia="en-US" w:bidi="ar-SA"/>
        </w:rPr>
        <w:t>公司（以下简称“中国结算上海分公司”）登记在册的本公司全体股东。</w:t>
      </w:r>
    </w:p>
    <w:p>
      <w:pPr>
        <w:framePr w:w="1714" w:x="1702" w:y="13619"/>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3.</w:t>
      </w:r>
      <w:r>
        <w:rPr>
          <w:rFonts w:ascii="SimSun" w:hAnsi="Calibri"/>
          <w:color w:val="000000"/>
          <w:spacing w:val="104"/>
          <w:sz w:val="21"/>
          <w:szCs w:val="22"/>
          <w:lang w:val="en-US" w:eastAsia="en-US" w:bidi="ar-SA"/>
        </w:rPr>
        <w:t xml:space="preserve"> </w:t>
      </w:r>
      <w:r>
        <w:rPr>
          <w:rFonts w:ascii="SimSun" w:hAnsi="SimSun" w:cs="SimSun"/>
          <w:color w:val="000000"/>
          <w:spacing w:val="1"/>
          <w:sz w:val="21"/>
          <w:szCs w:val="22"/>
          <w:lang w:val="en-US" w:eastAsia="en-US" w:bidi="ar-SA"/>
        </w:rPr>
        <w:t>分配方案：</w:t>
      </w:r>
    </w:p>
    <w:p>
      <w:pPr>
        <w:framePr w:w="8749" w:x="1702" w:y="14243"/>
        <w:widowControl w:val="0"/>
        <w:autoSpaceDE w:val="0"/>
        <w:autoSpaceDN w:val="0"/>
        <w:spacing w:line="211" w:lineRule="exact"/>
        <w:ind w:left="420"/>
        <w:rPr>
          <w:rFonts w:hAnsi="Calibri"/>
          <w:color w:val="000000"/>
          <w:sz w:val="21"/>
          <w:szCs w:val="22"/>
          <w:lang w:val="en-US" w:eastAsia="en-US" w:bidi="ar-SA"/>
        </w:rPr>
      </w:pPr>
      <w:r>
        <w:rPr>
          <w:rFonts w:ascii="SimSun" w:hAnsi="SimSun" w:cs="SimSun"/>
          <w:color w:val="000000"/>
          <w:sz w:val="21"/>
          <w:szCs w:val="22"/>
          <w:lang w:val="en-US" w:eastAsia="en-US" w:bidi="ar-SA"/>
        </w:rPr>
        <w:t>本次利润分配及转增股本以方案实施前的公司总股本</w:t>
      </w:r>
      <w:r>
        <w:rPr>
          <w:rFonts w:hAnsi="Calibri"/>
          <w:color w:val="000000"/>
          <w:spacing w:val="54"/>
          <w:sz w:val="21"/>
          <w:szCs w:val="22"/>
          <w:lang w:val="en-US" w:eastAsia="en-US" w:bidi="ar-SA"/>
        </w:rPr>
        <w:t xml:space="preserve"> </w:t>
      </w:r>
      <w:r>
        <w:rPr>
          <w:rFonts w:ascii="SimSun" w:hAnsi="Calibri"/>
          <w:color w:val="000000"/>
          <w:sz w:val="21"/>
          <w:szCs w:val="22"/>
          <w:lang w:val="en-US" w:eastAsia="en-US" w:bidi="ar-SA"/>
        </w:rPr>
        <w:t>158,490,000</w:t>
      </w:r>
      <w:r>
        <w:rPr>
          <w:rFonts w:ascii="SimSun" w:hAnsi="Calibri"/>
          <w:color w:val="000000"/>
          <w:spacing w:val="-1"/>
          <w:sz w:val="21"/>
          <w:szCs w:val="22"/>
          <w:lang w:val="en-US" w:eastAsia="en-US" w:bidi="ar-SA"/>
        </w:rPr>
        <w:t xml:space="preserve"> </w:t>
      </w:r>
      <w:r>
        <w:rPr>
          <w:rFonts w:ascii="SimSun" w:hAnsi="SimSun" w:cs="SimSun"/>
          <w:color w:val="000000"/>
          <w:sz w:val="21"/>
          <w:szCs w:val="22"/>
          <w:lang w:val="en-US" w:eastAsia="en-US" w:bidi="ar-SA"/>
        </w:rPr>
        <w:t>股为基数，每股派发</w:t>
      </w:r>
    </w:p>
    <w:p>
      <w:pPr>
        <w:framePr w:w="8749" w:x="1702" w:y="14243"/>
        <w:widowControl w:val="0"/>
        <w:autoSpaceDE w:val="0"/>
        <w:autoSpaceDN w:val="0"/>
        <w:spacing w:before="257"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现金红利</w:t>
      </w:r>
      <w:r>
        <w:rPr>
          <w:rFonts w:hAnsi="Calibri"/>
          <w:color w:val="000000"/>
          <w:spacing w:val="51"/>
          <w:sz w:val="21"/>
          <w:szCs w:val="22"/>
          <w:lang w:val="en-US" w:eastAsia="en-US" w:bidi="ar-SA"/>
        </w:rPr>
        <w:t xml:space="preserve"> </w:t>
      </w:r>
      <w:r>
        <w:rPr>
          <w:rFonts w:ascii="SimSun" w:hAnsi="Calibri"/>
          <w:color w:val="000000"/>
          <w:sz w:val="21"/>
          <w:szCs w:val="22"/>
          <w:lang w:val="en-US" w:eastAsia="en-US" w:bidi="ar-SA"/>
        </w:rPr>
        <w:t>0.35</w:t>
      </w:r>
      <w:r>
        <w:rPr>
          <w:rFonts w:ascii="SimSun" w:hAnsi="Calibri"/>
          <w:color w:val="000000"/>
          <w:spacing w:val="1"/>
          <w:sz w:val="21"/>
          <w:szCs w:val="22"/>
          <w:lang w:val="en-US" w:eastAsia="en-US" w:bidi="ar-SA"/>
        </w:rPr>
        <w:t xml:space="preserve"> </w:t>
      </w:r>
      <w:r>
        <w:rPr>
          <w:rFonts w:ascii="SimSun" w:hAnsi="SimSun" w:cs="SimSun"/>
          <w:color w:val="000000"/>
          <w:spacing w:val="-5"/>
          <w:sz w:val="21"/>
          <w:szCs w:val="22"/>
          <w:lang w:val="en-US" w:eastAsia="en-US" w:bidi="ar-SA"/>
        </w:rPr>
        <w:t>元（含税），以资本公积金向全体股东每股转增</w:t>
      </w:r>
      <w:r>
        <w:rPr>
          <w:rFonts w:hAnsi="Calibri"/>
          <w:color w:val="000000"/>
          <w:spacing w:val="60"/>
          <w:sz w:val="21"/>
          <w:szCs w:val="22"/>
          <w:lang w:val="en-US" w:eastAsia="en-US" w:bidi="ar-SA"/>
        </w:rPr>
        <w:t xml:space="preserve"> </w:t>
      </w:r>
      <w:r>
        <w:rPr>
          <w:rFonts w:ascii="SimSun" w:hAnsi="Calibri"/>
          <w:color w:val="000000"/>
          <w:sz w:val="21"/>
          <w:szCs w:val="22"/>
          <w:lang w:val="en-US" w:eastAsia="en-US" w:bidi="ar-SA"/>
        </w:rPr>
        <w:t>0.40</w:t>
      </w:r>
      <w:r>
        <w:rPr>
          <w:rFonts w:ascii="SimSun" w:hAnsi="Calibri"/>
          <w:color w:val="000000"/>
          <w:spacing w:val="-1"/>
          <w:sz w:val="21"/>
          <w:szCs w:val="22"/>
          <w:lang w:val="en-US" w:eastAsia="en-US" w:bidi="ar-SA"/>
        </w:rPr>
        <w:t xml:space="preserve"> </w:t>
      </w:r>
      <w:r>
        <w:rPr>
          <w:rFonts w:ascii="SimSun" w:hAnsi="SimSun" w:cs="SimSun"/>
          <w:color w:val="000000"/>
          <w:sz w:val="21"/>
          <w:szCs w:val="22"/>
          <w:lang w:val="en-US" w:eastAsia="en-US" w:bidi="ar-SA"/>
        </w:rPr>
        <w:t>股，共计派发现金红利</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38.5pt;height:65.35pt;margin-top:140.3pt;margin-left:78.45pt;mso-position-horizontal-relative:page;mso-position-vertical-relative:page;position:absolute;z-index:-251655168">
            <v:imagedata r:id="rId4" o:title=""/>
          </v:shape>
        </w:pict>
      </w:r>
      <w:r>
        <w:rPr>
          <w:noProof/>
        </w:rPr>
        <w:pict>
          <v:shape id="_x0000_s1026" type="#_x0000_t75" style="width:438.5pt;height:66.2pt;margin-top:359.7pt;margin-left:78.45pt;mso-position-horizontal-relative:page;mso-position-vertical-relative:page;position:absolute;z-index:-251658240">
            <v:imagedata r:id="rId5"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7369" w:x="1702" w:y="15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55,471,500</w:t>
      </w:r>
      <w:r>
        <w:rPr>
          <w:rFonts w:ascii="SimSun" w:hAnsi="SimSun" w:eastAsiaTheme="minorEastAsia" w:cs="SimSun"/>
          <w:color w:val="000000"/>
          <w:spacing w:val="1"/>
          <w:sz w:val="21"/>
          <w:szCs w:val="22"/>
          <w:lang w:val="en-US" w:eastAsia="en-US" w:bidi="ar-SA"/>
        </w:rPr>
        <w:t>元，转增</w:t>
      </w:r>
      <w:r>
        <w:rPr>
          <w:rFonts w:eastAsiaTheme="minorEastAsia" w:hAnsiTheme="minorHAnsi" w:cstheme="minorBidi"/>
          <w:color w:val="000000"/>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63,396,000</w:t>
      </w:r>
      <w:r>
        <w:rPr>
          <w:rFonts w:ascii="SimSun" w:hAnsi="SimSun" w:eastAsiaTheme="minorEastAsia" w:cs="SimSun"/>
          <w:color w:val="000000"/>
          <w:spacing w:val="1"/>
          <w:sz w:val="21"/>
          <w:szCs w:val="22"/>
          <w:lang w:val="en-US" w:eastAsia="en-US" w:bidi="ar-SA"/>
        </w:rPr>
        <w:t>股，本次分配后总股本为</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221,886,000</w:t>
      </w:r>
      <w:r>
        <w:rPr>
          <w:rFonts w:ascii="SimSun" w:hAnsi="SimSun" w:eastAsiaTheme="minorEastAsia" w:cs="SimSun"/>
          <w:color w:val="000000"/>
          <w:spacing w:val="1"/>
          <w:sz w:val="21"/>
          <w:szCs w:val="22"/>
          <w:lang w:val="en-US" w:eastAsia="en-US" w:bidi="ar-SA"/>
        </w:rPr>
        <w:t>股。</w:t>
      </w:r>
    </w:p>
    <w:p>
      <w:pPr>
        <w:framePr w:w="1507" w:x="1702" w:y="21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三、相关日期</w:t>
      </w:r>
    </w:p>
    <w:p>
      <w:pPr>
        <w:framePr w:w="1296" w:x="7607" w:y="27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新增无限售</w:t>
      </w:r>
    </w:p>
    <w:p>
      <w:pPr>
        <w:framePr w:w="1296" w:x="9062" w:y="288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现金红利发</w:t>
      </w:r>
    </w:p>
    <w:p>
      <w:pPr>
        <w:framePr w:w="1296" w:x="9062" w:y="2887"/>
        <w:widowControl w:val="0"/>
        <w:autoSpaceDE w:val="0"/>
        <w:autoSpaceDN w:val="0"/>
        <w:spacing w:before="101"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放日</w:t>
      </w:r>
    </w:p>
    <w:p>
      <w:pPr>
        <w:framePr w:w="1085" w:x="1899" w:y="30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股份类别</w:t>
      </w:r>
    </w:p>
    <w:p>
      <w:pPr>
        <w:framePr w:w="1085" w:x="1899" w:y="3043"/>
        <w:widowControl w:val="0"/>
        <w:autoSpaceDE w:val="0"/>
        <w:autoSpaceDN w:val="0"/>
        <w:spacing w:before="422"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Ａ股</w:t>
      </w:r>
    </w:p>
    <w:p>
      <w:pPr>
        <w:framePr w:w="1296" w:x="3248" w:y="30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股权登记日</w:t>
      </w:r>
    </w:p>
    <w:p>
      <w:pPr>
        <w:framePr w:w="4200" w:x="4700" w:y="30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最后交易日</w:t>
      </w:r>
      <w:r>
        <w:rPr>
          <w:rFonts w:eastAsiaTheme="minorEastAsia" w:hAnsiTheme="minorHAnsi" w:cstheme="minorBidi"/>
          <w:color w:val="000000"/>
          <w:spacing w:val="255"/>
          <w:sz w:val="21"/>
          <w:szCs w:val="22"/>
          <w:lang w:val="en-US" w:eastAsia="en-US" w:bidi="ar-SA"/>
        </w:rPr>
        <w:t xml:space="preserve"> </w:t>
      </w:r>
      <w:r>
        <w:rPr>
          <w:rFonts w:ascii="SimSun" w:hAnsi="SimSun" w:eastAsiaTheme="minorEastAsia" w:cs="SimSun"/>
          <w:color w:val="000000"/>
          <w:spacing w:val="-4"/>
          <w:sz w:val="21"/>
          <w:szCs w:val="22"/>
          <w:lang w:val="en-US" w:eastAsia="en-US" w:bidi="ar-SA"/>
        </w:rPr>
        <w:t>除权（息）日</w:t>
      </w:r>
      <w:r>
        <w:rPr>
          <w:rFonts w:eastAsiaTheme="minorEastAsia" w:hAnsiTheme="minorHAnsi" w:cstheme="minorBidi"/>
          <w:color w:val="000000"/>
          <w:spacing w:val="258"/>
          <w:sz w:val="21"/>
          <w:szCs w:val="22"/>
          <w:lang w:val="en-US" w:eastAsia="en-US" w:bidi="ar-SA"/>
        </w:rPr>
        <w:t xml:space="preserve"> </w:t>
      </w:r>
      <w:r>
        <w:rPr>
          <w:rFonts w:ascii="SimSun" w:hAnsi="SimSun" w:eastAsiaTheme="minorEastAsia" w:cs="SimSun"/>
          <w:color w:val="000000"/>
          <w:spacing w:val="1"/>
          <w:sz w:val="21"/>
          <w:szCs w:val="22"/>
          <w:lang w:val="en-US" w:eastAsia="en-US" w:bidi="ar-SA"/>
        </w:rPr>
        <w:t>条件流通股</w:t>
      </w:r>
    </w:p>
    <w:p>
      <w:pPr>
        <w:framePr w:w="4200" w:x="4700" w:y="3043"/>
        <w:widowControl w:val="0"/>
        <w:autoSpaceDE w:val="0"/>
        <w:autoSpaceDN w:val="0"/>
        <w:spacing w:before="101" w:line="211" w:lineRule="exact"/>
        <w:ind w:left="301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份上市日</w:t>
      </w:r>
    </w:p>
    <w:p>
      <w:pPr>
        <w:framePr w:w="1085" w:x="3552" w:y="36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2021/6/8</w:t>
      </w:r>
    </w:p>
    <w:p>
      <w:pPr>
        <w:framePr w:w="451" w:x="5120" w:y="36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w:t>
      </w:r>
    </w:p>
    <w:p>
      <w:pPr>
        <w:framePr w:w="1085" w:x="6460" w:y="36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2021/6/9</w:t>
      </w:r>
    </w:p>
    <w:p>
      <w:pPr>
        <w:framePr w:w="1190" w:x="7806" w:y="36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2021/6/10</w:t>
      </w:r>
    </w:p>
    <w:p>
      <w:pPr>
        <w:framePr w:w="1085" w:x="9367" w:y="36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2021/6/9</w:t>
      </w:r>
    </w:p>
    <w:p>
      <w:pPr>
        <w:framePr w:w="2986" w:x="1702" w:y="42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四、分配、转增股本实施办法</w:t>
      </w:r>
    </w:p>
    <w:p>
      <w:pPr>
        <w:framePr w:w="1502" w:x="1702" w:y="48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eastAsiaTheme="minorEastAsia" w:hAnsiTheme="minorHAnsi" w:cstheme="minorBidi"/>
          <w:color w:val="000000"/>
          <w:spacing w:val="104"/>
          <w:sz w:val="21"/>
          <w:szCs w:val="22"/>
          <w:lang w:val="en-US" w:eastAsia="en-US" w:bidi="ar-SA"/>
        </w:rPr>
        <w:t xml:space="preserve"> </w:t>
      </w:r>
      <w:r>
        <w:rPr>
          <w:rFonts w:ascii="SimSun" w:hAnsi="SimSun" w:eastAsiaTheme="minorEastAsia" w:cs="SimSun"/>
          <w:color w:val="000000"/>
          <w:sz w:val="21"/>
          <w:szCs w:val="22"/>
          <w:lang w:val="en-US" w:eastAsia="en-US" w:bidi="ar-SA"/>
        </w:rPr>
        <w:t>实施办法</w:t>
      </w:r>
    </w:p>
    <w:p>
      <w:pPr>
        <w:framePr w:w="8749" w:x="1702" w:y="547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2"/>
          <w:sz w:val="21"/>
          <w:szCs w:val="22"/>
          <w:lang w:val="en-US" w:eastAsia="en-US" w:bidi="ar-SA"/>
        </w:rPr>
        <w:t>1</w:t>
      </w:r>
      <w:r>
        <w:rPr>
          <w:rFonts w:ascii="SimSun" w:hAnsi="SimSun" w:eastAsiaTheme="minorEastAsia" w:cs="SimSun"/>
          <w:color w:val="000000"/>
          <w:sz w:val="21"/>
          <w:szCs w:val="22"/>
          <w:lang w:val="en-US" w:eastAsia="en-US" w:bidi="ar-SA"/>
        </w:rPr>
        <w:t>）无限售条件流通股的红利委托中国结算上海分公司通过其资金清算系统向股权登记</w:t>
      </w:r>
    </w:p>
    <w:p>
      <w:pPr>
        <w:framePr w:w="8749" w:x="1702" w:y="547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日上海证券交易所收市后登记在册并在上海证券交易所各会员办理了指定交易的股东派发。</w:t>
      </w:r>
    </w:p>
    <w:p>
      <w:pPr>
        <w:framePr w:w="8749" w:x="1702" w:y="547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已办理指定交易的投资者可于红利发放日在其指定的证券营业部领取现金红利，未办理指定</w:t>
      </w:r>
    </w:p>
    <w:p>
      <w:pPr>
        <w:framePr w:w="8749" w:x="1702" w:y="547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交易的股东红利暂由中国结算上海分公司保管，待办理指定交易后再进行派发。</w:t>
      </w:r>
    </w:p>
    <w:p>
      <w:pPr>
        <w:framePr w:w="8371" w:x="2122" w:y="750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）派送红股或转增股本的，由中国结算上海分公司根据股权登记日上海证券交易所收</w:t>
      </w:r>
    </w:p>
    <w:p>
      <w:pPr>
        <w:framePr w:w="5309" w:x="1702" w:y="797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市后登记在册股东持股数，按比例直接计入股东账户。</w:t>
      </w:r>
    </w:p>
    <w:p>
      <w:pPr>
        <w:framePr w:w="1922" w:x="1702" w:y="85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eastAsiaTheme="minorEastAsia" w:hAnsiTheme="minorHAnsi" w:cstheme="minorBidi"/>
          <w:color w:val="000000"/>
          <w:spacing w:val="104"/>
          <w:sz w:val="21"/>
          <w:szCs w:val="22"/>
          <w:lang w:val="en-US" w:eastAsia="en-US" w:bidi="ar-SA"/>
        </w:rPr>
        <w:t xml:space="preserve"> </w:t>
      </w:r>
      <w:r>
        <w:rPr>
          <w:rFonts w:ascii="SimSun" w:hAnsi="SimSun" w:eastAsiaTheme="minorEastAsia" w:cs="SimSun"/>
          <w:color w:val="000000"/>
          <w:sz w:val="21"/>
          <w:szCs w:val="22"/>
          <w:lang w:val="en-US" w:eastAsia="en-US" w:bidi="ar-SA"/>
        </w:rPr>
        <w:t>自行发放对象</w:t>
      </w:r>
    </w:p>
    <w:p>
      <w:pPr>
        <w:framePr w:w="1922" w:x="1702" w:y="8599"/>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502" w:x="1702" w:y="98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eastAsiaTheme="minorEastAsia" w:hAnsiTheme="minorHAnsi" w:cstheme="minorBidi"/>
          <w:color w:val="000000"/>
          <w:spacing w:val="104"/>
          <w:sz w:val="21"/>
          <w:szCs w:val="22"/>
          <w:lang w:val="en-US" w:eastAsia="en-US" w:bidi="ar-SA"/>
        </w:rPr>
        <w:t xml:space="preserve"> </w:t>
      </w:r>
      <w:r>
        <w:rPr>
          <w:rFonts w:ascii="SimSun" w:hAnsi="SimSun" w:eastAsiaTheme="minorEastAsia" w:cs="SimSun"/>
          <w:color w:val="000000"/>
          <w:sz w:val="21"/>
          <w:szCs w:val="22"/>
          <w:lang w:val="en-US" w:eastAsia="en-US" w:bidi="ar-SA"/>
        </w:rPr>
        <w:t>扣税说明</w:t>
      </w:r>
    </w:p>
    <w:p>
      <w:pPr>
        <w:framePr w:w="8899" w:x="1702" w:y="1047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w:t>
      </w:r>
      <w:r>
        <w:rPr>
          <w:rFonts w:ascii="SimSun" w:eastAsiaTheme="minorEastAsia" w:hAnsiTheme="minorHAnsi" w:cstheme="minorBidi"/>
          <w:color w:val="000000"/>
          <w:spacing w:val="3"/>
          <w:sz w:val="21"/>
          <w:szCs w:val="22"/>
          <w:lang w:val="en-US" w:eastAsia="en-US" w:bidi="ar-SA"/>
        </w:rPr>
        <w:t>1</w:t>
      </w:r>
      <w:r>
        <w:rPr>
          <w:rFonts w:ascii="SimSun" w:hAnsi="SimSun" w:eastAsiaTheme="minorEastAsia" w:cs="SimSun"/>
          <w:color w:val="000000"/>
          <w:sz w:val="21"/>
          <w:szCs w:val="22"/>
          <w:lang w:val="en-US" w:eastAsia="en-US" w:bidi="ar-SA"/>
        </w:rPr>
        <w:t>）对于持有公司无限售流通股的自然人股东（含证券投资基金），根据《关于实施上</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市公司股息红利差别化个人所得税政策有关问题的通知》（财税</w:t>
      </w:r>
      <w:r>
        <w:rPr>
          <w:rFonts w:ascii="SimSun" w:eastAsiaTheme="minorEastAsia" w:hAnsiTheme="minorHAnsi" w:cstheme="minorBidi"/>
          <w:color w:val="000000"/>
          <w:sz w:val="21"/>
          <w:szCs w:val="22"/>
          <w:lang w:val="en-US" w:eastAsia="en-US" w:bidi="ar-SA"/>
        </w:rPr>
        <w:t>[2012]85</w:t>
      </w:r>
      <w:r>
        <w:rPr>
          <w:rFonts w:ascii="SimSun" w:hAnsi="SimSun" w:eastAsiaTheme="minorEastAsia" w:cs="SimSun"/>
          <w:color w:val="000000"/>
          <w:spacing w:val="-4"/>
          <w:sz w:val="21"/>
          <w:szCs w:val="22"/>
          <w:lang w:val="en-US" w:eastAsia="en-US" w:bidi="ar-SA"/>
        </w:rPr>
        <w:t>号）和《关于上市公</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司股息红利差别化个人所得税政策有关问题的通知》（财税</w:t>
      </w:r>
      <w:r>
        <w:rPr>
          <w:rFonts w:ascii="SimSun" w:eastAsiaTheme="minorEastAsia" w:hAnsiTheme="minorHAnsi" w:cstheme="minorBidi"/>
          <w:color w:val="000000"/>
          <w:sz w:val="21"/>
          <w:szCs w:val="22"/>
          <w:lang w:val="en-US" w:eastAsia="en-US" w:bidi="ar-SA"/>
        </w:rPr>
        <w:t>[2015]101</w:t>
      </w:r>
      <w:r>
        <w:rPr>
          <w:rFonts w:ascii="SimSun"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z w:val="21"/>
          <w:szCs w:val="22"/>
          <w:lang w:val="en-US" w:eastAsia="en-US" w:bidi="ar-SA"/>
        </w:rPr>
        <w:t>号）的有关规定，个人</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从公开发行和转让市场取得的上市公司股票，持股期限超过</w:t>
      </w:r>
      <w:r>
        <w:rPr>
          <w:rFonts w:eastAsiaTheme="minorEastAsia" w:hAnsiTheme="minorHAnsi" w:cstheme="minorBidi"/>
          <w:color w:val="000000"/>
          <w:spacing w:val="5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年的，股息红利所得暂免征收</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个人所得税，每股实际派发现金红利</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0.35</w:t>
      </w:r>
      <w:r>
        <w:rPr>
          <w:rFonts w:ascii="SimSun" w:hAnsi="SimSun" w:eastAsiaTheme="minorEastAsia" w:cs="SimSun"/>
          <w:color w:val="000000"/>
          <w:sz w:val="21"/>
          <w:szCs w:val="22"/>
          <w:lang w:val="en-US" w:eastAsia="en-US" w:bidi="ar-SA"/>
        </w:rPr>
        <w:t>元；持股期限在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1</w:t>
      </w:r>
      <w:r>
        <w:rPr>
          <w:rFonts w:ascii="SimSun" w:hAnsi="SimSun" w:eastAsiaTheme="minorEastAsia" w:cs="SimSun"/>
          <w:color w:val="000000"/>
          <w:spacing w:val="-1"/>
          <w:sz w:val="21"/>
          <w:szCs w:val="22"/>
          <w:lang w:val="en-US" w:eastAsia="en-US" w:bidi="ar-SA"/>
        </w:rPr>
        <w:t>年以内（含</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1</w:t>
      </w:r>
      <w:r>
        <w:rPr>
          <w:rFonts w:ascii="SimSun" w:hAnsi="SimSun" w:eastAsiaTheme="minorEastAsia" w:cs="SimSun"/>
          <w:color w:val="000000"/>
          <w:sz w:val="21"/>
          <w:szCs w:val="22"/>
          <w:lang w:val="en-US" w:eastAsia="en-US" w:bidi="ar-SA"/>
        </w:rPr>
        <w:t>年）的，暂不扣缴</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个人所得税，每股实际派发现金红利</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0.35</w:t>
      </w:r>
      <w:r>
        <w:rPr>
          <w:rFonts w:ascii="SimSun" w:hAnsi="SimSun" w:eastAsiaTheme="minorEastAsia" w:cs="SimSun"/>
          <w:color w:val="000000"/>
          <w:sz w:val="21"/>
          <w:szCs w:val="22"/>
          <w:lang w:val="en-US" w:eastAsia="en-US" w:bidi="ar-SA"/>
        </w:rPr>
        <w:t>元，待其转让股票时，中国结算上海分公司根据其</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持股期限计算应纳税额，由证券公司等股份托管机构从其资金账户中扣收并划付中国结算上</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海分公司，中国结算上海分公司于次月</w:t>
      </w:r>
      <w:r>
        <w:rPr>
          <w:rFonts w:eastAsiaTheme="minorEastAsia" w:hAnsiTheme="minorHAnsi" w:cstheme="minorBidi"/>
          <w:color w:val="000000"/>
          <w:spacing w:val="5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个工作日内划付公司，公司在收到税款当月的法定</w:t>
      </w:r>
    </w:p>
    <w:p>
      <w:pPr>
        <w:framePr w:w="8899" w:x="1702" w:y="1047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申报期内向主管税务机关申报缴纳。</w:t>
      </w:r>
    </w:p>
    <w:p>
      <w:pPr>
        <w:framePr w:w="8330" w:x="2122" w:y="148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具体实际税负为：持股期限在</w:t>
      </w:r>
      <w:r>
        <w:rPr>
          <w:rFonts w:eastAsiaTheme="minorEastAsia" w:hAnsiTheme="minorHAnsi" w:cstheme="minorBidi"/>
          <w:color w:val="000000"/>
          <w:spacing w:val="2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r>
        <w:rPr>
          <w:rFonts w:ascii="SimSun" w:eastAsiaTheme="minorEastAsia" w:hAnsiTheme="minorHAnsi" w:cstheme="minorBidi"/>
          <w:color w:val="000000"/>
          <w:spacing w:val="-25"/>
          <w:sz w:val="21"/>
          <w:szCs w:val="22"/>
          <w:lang w:val="en-US" w:eastAsia="en-US" w:bidi="ar-SA"/>
        </w:rPr>
        <w:t xml:space="preserve"> </w:t>
      </w:r>
      <w:r>
        <w:rPr>
          <w:rFonts w:ascii="SimSun" w:hAnsi="SimSun" w:eastAsiaTheme="minorEastAsia" w:cs="SimSun"/>
          <w:color w:val="000000"/>
          <w:sz w:val="21"/>
          <w:szCs w:val="22"/>
          <w:lang w:val="en-US" w:eastAsia="en-US" w:bidi="ar-SA"/>
        </w:rPr>
        <w:t>个月以内（含</w:t>
      </w:r>
      <w:r>
        <w:rPr>
          <w:rFonts w:eastAsiaTheme="minorEastAsia" w:hAnsiTheme="minorHAnsi" w:cstheme="minorBidi"/>
          <w:color w:val="000000"/>
          <w:spacing w:val="2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r>
        <w:rPr>
          <w:rFonts w:ascii="SimSun" w:eastAsiaTheme="minorEastAsia" w:hAnsiTheme="minorHAnsi" w:cstheme="minorBidi"/>
          <w:color w:val="000000"/>
          <w:spacing w:val="-25"/>
          <w:sz w:val="21"/>
          <w:szCs w:val="22"/>
          <w:lang w:val="en-US" w:eastAsia="en-US" w:bidi="ar-SA"/>
        </w:rPr>
        <w:t xml:space="preserve"> </w:t>
      </w:r>
      <w:r>
        <w:rPr>
          <w:rFonts w:ascii="SimSun" w:hAnsi="SimSun" w:eastAsiaTheme="minorEastAsia" w:cs="SimSun"/>
          <w:color w:val="000000"/>
          <w:sz w:val="21"/>
          <w:szCs w:val="22"/>
          <w:lang w:val="en-US" w:eastAsia="en-US" w:bidi="ar-SA"/>
        </w:rPr>
        <w:t>个月）的，股息红利所得全额计入应纳</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7" type="#_x0000_t75" style="width:438.5pt;height:65.85pt;margin-top:132.5pt;margin-left:78.45pt;mso-position-horizontal-relative:page;mso-position-vertical-relative:page;position:absolute;z-index:-251657216">
            <v:imagedata r:id="rId6"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846" w:x="1702" w:y="15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税所得额，实际税负为</w:t>
      </w:r>
      <w:r>
        <w:rPr>
          <w:rFonts w:eastAsiaTheme="minorEastAsia" w:hAnsiTheme="minorHAnsi" w:cstheme="minorBidi"/>
          <w:color w:val="000000"/>
          <w:spacing w:val="1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w:t>
      </w:r>
      <w:r>
        <w:rPr>
          <w:rFonts w:ascii="SimSun" w:hAnsi="SimSun" w:eastAsiaTheme="minorEastAsia" w:cs="SimSun"/>
          <w:color w:val="000000"/>
          <w:sz w:val="21"/>
          <w:szCs w:val="22"/>
          <w:lang w:val="en-US" w:eastAsia="en-US" w:bidi="ar-SA"/>
        </w:rPr>
        <w:t>；持股期限在</w:t>
      </w:r>
      <w:r>
        <w:rPr>
          <w:rFonts w:eastAsiaTheme="minorEastAsia" w:hAnsiTheme="minorHAnsi" w:cstheme="minorBidi"/>
          <w:color w:val="000000"/>
          <w:spacing w:val="1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r>
        <w:rPr>
          <w:rFonts w:ascii="SimSun" w:eastAsiaTheme="minorEastAsia" w:hAnsiTheme="minorHAnsi" w:cstheme="minorBidi"/>
          <w:color w:val="000000"/>
          <w:spacing w:val="-37"/>
          <w:sz w:val="21"/>
          <w:szCs w:val="22"/>
          <w:lang w:val="en-US" w:eastAsia="en-US" w:bidi="ar-SA"/>
        </w:rPr>
        <w:t xml:space="preserve"> </w:t>
      </w:r>
      <w:r>
        <w:rPr>
          <w:rFonts w:ascii="SimSun" w:hAnsi="SimSun" w:eastAsiaTheme="minorEastAsia" w:cs="SimSun"/>
          <w:color w:val="000000"/>
          <w:sz w:val="21"/>
          <w:szCs w:val="22"/>
          <w:lang w:val="en-US" w:eastAsia="en-US" w:bidi="ar-SA"/>
        </w:rPr>
        <w:t>个月以上至</w:t>
      </w:r>
      <w:r>
        <w:rPr>
          <w:rFonts w:eastAsiaTheme="minorEastAsia" w:hAnsiTheme="minorHAnsi" w:cstheme="minorBidi"/>
          <w:color w:val="000000"/>
          <w:spacing w:val="19"/>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年（含</w:t>
      </w:r>
      <w:r>
        <w:rPr>
          <w:rFonts w:eastAsiaTheme="minorEastAsia" w:hAnsiTheme="minorHAnsi" w:cstheme="minorBidi"/>
          <w:color w:val="000000"/>
          <w:spacing w:val="1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年）的，暂减按</w:t>
      </w:r>
      <w:r>
        <w:rPr>
          <w:rFonts w:eastAsiaTheme="minorEastAsia" w:hAnsiTheme="minorHAnsi" w:cstheme="minorBidi"/>
          <w:color w:val="000000"/>
          <w:spacing w:val="19"/>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50%</w:t>
      </w:r>
      <w:r>
        <w:rPr>
          <w:rFonts w:ascii="SimSun" w:hAnsi="SimSun" w:eastAsiaTheme="minorEastAsia" w:cs="SimSun"/>
          <w:color w:val="000000"/>
          <w:spacing w:val="-1"/>
          <w:sz w:val="21"/>
          <w:szCs w:val="22"/>
          <w:lang w:val="en-US" w:eastAsia="en-US" w:bidi="ar-SA"/>
        </w:rPr>
        <w:t>计入</w:t>
      </w:r>
    </w:p>
    <w:p>
      <w:pPr>
        <w:framePr w:w="8846" w:x="1702" w:y="155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应纳税所得额，实际税负为</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；持股期限超过</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1</w:t>
      </w:r>
      <w:r>
        <w:rPr>
          <w:rFonts w:ascii="SimSun" w:hAnsi="SimSun" w:eastAsiaTheme="minorEastAsia" w:cs="SimSun"/>
          <w:color w:val="000000"/>
          <w:spacing w:val="2"/>
          <w:sz w:val="21"/>
          <w:szCs w:val="22"/>
          <w:lang w:val="en-US" w:eastAsia="en-US" w:bidi="ar-SA"/>
        </w:rPr>
        <w:t>年的，股息红利所得暂免征收个人所得税。</w:t>
      </w:r>
    </w:p>
    <w:p>
      <w:pPr>
        <w:framePr w:w="8794" w:x="1702" w:y="264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）对于持有公司有限售条件流通股的自然人股东，根据《关于实施上市公司股息红利</w:t>
      </w:r>
    </w:p>
    <w:p>
      <w:pPr>
        <w:framePr w:w="8794" w:x="1702" w:y="264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差别化个人所得税政策有关问题的通知》（财税【</w:t>
      </w:r>
      <w:r>
        <w:rPr>
          <w:rFonts w:ascii="SimSun" w:eastAsiaTheme="minorEastAsia" w:hAnsiTheme="minorHAnsi" w:cstheme="minorBidi"/>
          <w:color w:val="000000"/>
          <w:sz w:val="21"/>
          <w:szCs w:val="22"/>
          <w:lang w:val="en-US" w:eastAsia="en-US" w:bidi="ar-SA"/>
        </w:rPr>
        <w:t>2012</w:t>
      </w: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85</w:t>
      </w:r>
      <w:r>
        <w:rPr>
          <w:rFonts w:ascii="SimSun" w:hAnsi="SimSun" w:eastAsiaTheme="minorEastAsia" w:cs="SimSun"/>
          <w:color w:val="000000"/>
          <w:sz w:val="21"/>
          <w:szCs w:val="22"/>
          <w:lang w:val="en-US" w:eastAsia="en-US" w:bidi="ar-SA"/>
        </w:rPr>
        <w:t>号）有关规定，按照</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的税率代</w:t>
      </w:r>
    </w:p>
    <w:p>
      <w:pPr>
        <w:framePr w:w="8794" w:x="1702" w:y="264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扣代缴个人所得税，税后每股实际派发现金红利为人民币</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0.315</w:t>
      </w:r>
      <w:r>
        <w:rPr>
          <w:rFonts w:ascii="SimSun" w:hAnsi="SimSun" w:eastAsiaTheme="minorEastAsia" w:cs="SimSun"/>
          <w:color w:val="000000"/>
          <w:spacing w:val="-1"/>
          <w:sz w:val="21"/>
          <w:szCs w:val="22"/>
          <w:lang w:val="en-US" w:eastAsia="en-US" w:bidi="ar-SA"/>
        </w:rPr>
        <w:t>元。</w:t>
      </w:r>
    </w:p>
    <w:p>
      <w:pPr>
        <w:framePr w:w="8899" w:x="1702" w:y="420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）对于持有公司股份的合格境外机构投资者（</w:t>
      </w:r>
      <w:r>
        <w:rPr>
          <w:rFonts w:ascii="SimSun" w:eastAsiaTheme="minorEastAsia" w:hAnsiTheme="minorHAnsi" w:cstheme="minorBidi"/>
          <w:color w:val="000000"/>
          <w:spacing w:val="-1"/>
          <w:sz w:val="21"/>
          <w:szCs w:val="22"/>
          <w:lang w:val="en-US" w:eastAsia="en-US" w:bidi="ar-SA"/>
        </w:rPr>
        <w:t>QFII</w:t>
      </w:r>
      <w:r>
        <w:rPr>
          <w:rFonts w:ascii="SimSun" w:hAnsi="SimSun" w:eastAsiaTheme="minorEastAsia" w:cs="SimSun"/>
          <w:color w:val="000000"/>
          <w:sz w:val="21"/>
          <w:szCs w:val="22"/>
          <w:lang w:val="en-US" w:eastAsia="en-US" w:bidi="ar-SA"/>
        </w:rPr>
        <w:t>）股东，根据《关于中国居民企业</w:t>
      </w:r>
    </w:p>
    <w:p>
      <w:pPr>
        <w:framePr w:w="8899" w:x="1702" w:y="420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向</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QFII</w:t>
      </w:r>
      <w:r>
        <w:rPr>
          <w:rFonts w:ascii="SimSun" w:hAnsi="SimSun" w:eastAsiaTheme="minorEastAsia" w:cs="SimSun"/>
          <w:color w:val="000000"/>
          <w:spacing w:val="-7"/>
          <w:sz w:val="21"/>
          <w:szCs w:val="22"/>
          <w:lang w:val="en-US" w:eastAsia="en-US" w:bidi="ar-SA"/>
        </w:rPr>
        <w:t>支付股息、红利、利息代扣代缴企业所得税有关问题的通知》（国税函【</w:t>
      </w:r>
      <w:r>
        <w:rPr>
          <w:rFonts w:ascii="SimSun" w:eastAsiaTheme="minorEastAsia" w:hAnsiTheme="minorHAnsi" w:cstheme="minorBidi"/>
          <w:color w:val="000000"/>
          <w:sz w:val="21"/>
          <w:szCs w:val="22"/>
          <w:lang w:val="en-US" w:eastAsia="en-US" w:bidi="ar-SA"/>
        </w:rPr>
        <w:t>2009</w:t>
      </w:r>
      <w:r>
        <w:rPr>
          <w:rFonts w:ascii="SimSun" w:hAnsi="SimSun" w:eastAsiaTheme="minorEastAsia" w:cs="SimSun"/>
          <w:color w:val="000000"/>
          <w:spacing w:val="-32"/>
          <w:sz w:val="21"/>
          <w:szCs w:val="22"/>
          <w:lang w:val="en-US" w:eastAsia="en-US" w:bidi="ar-SA"/>
        </w:rPr>
        <w:t>】</w:t>
      </w:r>
      <w:r>
        <w:rPr>
          <w:rFonts w:ascii="SimSun" w:eastAsiaTheme="minorEastAsia" w:hAnsiTheme="minorHAnsi" w:cstheme="minorBidi"/>
          <w:color w:val="000000"/>
          <w:sz w:val="21"/>
          <w:szCs w:val="22"/>
          <w:lang w:val="en-US" w:eastAsia="en-US" w:bidi="ar-SA"/>
        </w:rPr>
        <w:t>47</w:t>
      </w:r>
      <w:r>
        <w:rPr>
          <w:rFonts w:ascii="SimSun" w:hAnsi="SimSun" w:eastAsiaTheme="minorEastAsia" w:cs="SimSun"/>
          <w:color w:val="000000"/>
          <w:spacing w:val="1"/>
          <w:sz w:val="21"/>
          <w:szCs w:val="22"/>
          <w:lang w:val="en-US" w:eastAsia="en-US" w:bidi="ar-SA"/>
        </w:rPr>
        <w:t>号）</w:t>
      </w:r>
    </w:p>
    <w:p>
      <w:pPr>
        <w:framePr w:w="8899" w:x="1702" w:y="420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0"/>
          <w:sz w:val="21"/>
          <w:szCs w:val="22"/>
          <w:lang w:val="en-US" w:eastAsia="en-US" w:bidi="ar-SA"/>
        </w:rPr>
        <w:t>的规定，由本公司按照</w:t>
      </w:r>
      <w:r>
        <w:rPr>
          <w:rFonts w:eastAsiaTheme="minorEastAsia" w:hAnsiTheme="minorHAnsi" w:cstheme="minorBidi"/>
          <w:color w:val="000000"/>
          <w:spacing w:val="-8"/>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pacing w:val="-4"/>
          <w:sz w:val="21"/>
          <w:szCs w:val="22"/>
          <w:lang w:val="en-US" w:eastAsia="en-US" w:bidi="ar-SA"/>
        </w:rPr>
        <w:t>的税率代扣代缴企业所得税，实际派发每股税后现金红利</w:t>
      </w:r>
      <w:r>
        <w:rPr>
          <w:rFonts w:eastAsiaTheme="minorEastAsia" w:hAnsiTheme="minorHAnsi" w:cstheme="minorBidi"/>
          <w:color w:val="000000"/>
          <w:spacing w:val="-1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0.315</w:t>
      </w:r>
      <w:r>
        <w:rPr>
          <w:rFonts w:ascii="SimSun" w:hAnsi="SimSun" w:eastAsiaTheme="minorEastAsia" w:cs="SimSun"/>
          <w:color w:val="000000"/>
          <w:spacing w:val="1"/>
          <w:sz w:val="21"/>
          <w:szCs w:val="22"/>
          <w:lang w:val="en-US" w:eastAsia="en-US" w:bidi="ar-SA"/>
        </w:rPr>
        <w:t>元。</w:t>
      </w:r>
    </w:p>
    <w:p>
      <w:pPr>
        <w:framePr w:w="8899" w:x="1702" w:y="420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如该类股东取得股息红利收入需要享受税收协定（安排）待遇的，可按照规定在取得股息红</w:t>
      </w:r>
    </w:p>
    <w:p>
      <w:pPr>
        <w:framePr w:w="8899" w:x="1702" w:y="420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利后自行向主管税务机关提出申请。</w:t>
      </w:r>
    </w:p>
    <w:p>
      <w:pPr>
        <w:framePr w:w="8794" w:x="1702" w:y="669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）对于香港联合交易所有限公司投资者（包括企业和个人）投资上海证券交易所本公</w:t>
      </w:r>
    </w:p>
    <w:p>
      <w:pPr>
        <w:framePr w:w="8794" w:x="1702" w:y="66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司</w:t>
      </w:r>
      <w:r>
        <w:rPr>
          <w:rFonts w:eastAsiaTheme="minorEastAsia" w:hAnsiTheme="minorHAnsi" w:cstheme="minorBidi"/>
          <w:color w:val="000000"/>
          <w:spacing w:val="5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A</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股股票</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“沪股通”</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，其股息红利将由公司通过中国结算上海分公司按股票名义持有人</w:t>
      </w:r>
    </w:p>
    <w:p>
      <w:pPr>
        <w:framePr w:w="8794" w:x="1702" w:y="66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账户以人民币派发，根据《财政部、国家税务总局、证监会关于沪港股票市场交易互联互通</w:t>
      </w:r>
    </w:p>
    <w:p>
      <w:pPr>
        <w:framePr w:w="8794" w:x="1702" w:y="66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6"/>
          <w:sz w:val="21"/>
          <w:szCs w:val="22"/>
          <w:lang w:val="en-US" w:eastAsia="en-US" w:bidi="ar-SA"/>
        </w:rPr>
        <w:t>机制试点有关税收政策的通知》（财税【</w:t>
      </w:r>
      <w:r>
        <w:rPr>
          <w:rFonts w:ascii="SimSun" w:eastAsiaTheme="minorEastAsia" w:hAnsiTheme="minorHAnsi" w:cstheme="minorBidi"/>
          <w:color w:val="000000"/>
          <w:spacing w:val="-1"/>
          <w:sz w:val="21"/>
          <w:szCs w:val="22"/>
          <w:lang w:val="en-US" w:eastAsia="en-US" w:bidi="ar-SA"/>
        </w:rPr>
        <w:t>2014</w:t>
      </w: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2"/>
          <w:sz w:val="21"/>
          <w:szCs w:val="22"/>
          <w:lang w:val="en-US" w:eastAsia="en-US" w:bidi="ar-SA"/>
        </w:rPr>
        <w:t>81</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pacing w:val="-15"/>
          <w:sz w:val="21"/>
          <w:szCs w:val="22"/>
          <w:lang w:val="en-US" w:eastAsia="en-US" w:bidi="ar-SA"/>
        </w:rPr>
        <w:t>号），公司按照</w:t>
      </w:r>
      <w:r>
        <w:rPr>
          <w:rFonts w:eastAsiaTheme="minorEastAsia" w:hAnsiTheme="minorHAnsi" w:cstheme="minorBidi"/>
          <w:color w:val="000000"/>
          <w:spacing w:val="69"/>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的税率代扣所得税，税</w:t>
      </w:r>
    </w:p>
    <w:p>
      <w:pPr>
        <w:framePr w:w="8794" w:x="1702" w:y="66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后每股实际派发现金股息</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0.315</w:t>
      </w:r>
      <w:r>
        <w:rPr>
          <w:rFonts w:ascii="SimSun" w:hAnsi="SimSun" w:eastAsiaTheme="minorEastAsia" w:cs="SimSun"/>
          <w:color w:val="000000"/>
          <w:spacing w:val="1"/>
          <w:sz w:val="21"/>
          <w:szCs w:val="22"/>
          <w:lang w:val="en-US" w:eastAsia="en-US" w:bidi="ar-SA"/>
        </w:rPr>
        <w:t>元。</w:t>
      </w:r>
    </w:p>
    <w:p>
      <w:pPr>
        <w:framePr w:w="8747" w:x="1702" w:y="9195"/>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）对于持有公司股份的其他机构投资者和法人股东，本公司不代扣代缴所得税，由纳</w:t>
      </w:r>
    </w:p>
    <w:p>
      <w:pPr>
        <w:framePr w:w="8747" w:x="1702" w:y="919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8"/>
          <w:sz w:val="21"/>
          <w:szCs w:val="22"/>
          <w:lang w:val="en-US" w:eastAsia="en-US" w:bidi="ar-SA"/>
        </w:rPr>
        <w:t>税人按税法规定自行判断是否应在当地缴纳企业所得税，实际派发现金红利为每股人民币</w:t>
      </w:r>
    </w:p>
    <w:p>
      <w:pPr>
        <w:framePr w:w="8747" w:x="1702" w:y="919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0.35</w:t>
      </w:r>
      <w:r>
        <w:rPr>
          <w:rFonts w:ascii="SimSun" w:hAnsi="SimSun" w:eastAsiaTheme="minorEastAsia" w:cs="SimSun"/>
          <w:color w:val="000000"/>
          <w:spacing w:val="1"/>
          <w:sz w:val="21"/>
          <w:szCs w:val="22"/>
          <w:lang w:val="en-US" w:eastAsia="en-US" w:bidi="ar-SA"/>
        </w:rPr>
        <w:t>元。</w:t>
      </w:r>
    </w:p>
    <w:p>
      <w:pPr>
        <w:framePr w:w="8371" w:x="2122" w:y="107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）本次转增股本的资本公积金来源为股本溢价发行所形成的资本公积金，本次转增股</w:t>
      </w:r>
    </w:p>
    <w:p>
      <w:pPr>
        <w:framePr w:w="1507" w:x="1702" w:y="112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本无需扣税。</w:t>
      </w:r>
    </w:p>
    <w:p>
      <w:pPr>
        <w:framePr w:w="2141" w:x="1702" w:y="118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五、股本结构变动表</w:t>
      </w:r>
    </w:p>
    <w:p>
      <w:pPr>
        <w:framePr w:w="2984" w:x="7465" w:y="12395"/>
        <w:widowControl w:val="0"/>
        <w:autoSpaceDE w:val="0"/>
        <w:autoSpaceDN w:val="0"/>
        <w:spacing w:line="211" w:lineRule="exact"/>
        <w:ind w:left="190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单位：股</w:t>
      </w:r>
    </w:p>
    <w:p>
      <w:pPr>
        <w:framePr w:w="2984" w:x="7465" w:y="1239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变动数</w:t>
      </w:r>
    </w:p>
    <w:p>
      <w:pPr>
        <w:framePr w:w="1555" w:x="5615" w:y="1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本次变动前</w:t>
      </w:r>
    </w:p>
    <w:p>
      <w:pPr>
        <w:framePr w:w="1555" w:x="5615" w:y="12882"/>
        <w:widowControl w:val="0"/>
        <w:autoSpaceDE w:val="0"/>
        <w:autoSpaceDN w:val="0"/>
        <w:spacing w:before="278" w:line="211" w:lineRule="exact"/>
        <w:ind w:left="367"/>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1,690,000</w:t>
      </w:r>
    </w:p>
    <w:p>
      <w:pPr>
        <w:framePr w:w="1296" w:x="8894" w:y="1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本次变动后</w:t>
      </w:r>
    </w:p>
    <w:p>
      <w:pPr>
        <w:framePr w:w="1090" w:x="7571" w:y="130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转增</w:t>
      </w:r>
    </w:p>
    <w:p>
      <w:pPr>
        <w:framePr w:w="1090" w:x="7571" w:y="13045"/>
        <w:widowControl w:val="0"/>
        <w:autoSpaceDE w:val="0"/>
        <w:autoSpaceDN w:val="0"/>
        <w:spacing w:before="115" w:line="211" w:lineRule="exact"/>
        <w:ind w:left="11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676,000</w:t>
      </w:r>
    </w:p>
    <w:p>
      <w:pPr>
        <w:framePr w:w="3830" w:x="1702" w:y="1337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一、有限售条件流通股份（非流通股）</w:t>
      </w:r>
    </w:p>
    <w:p>
      <w:pPr>
        <w:framePr w:w="3830" w:x="1702" w:y="13372"/>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二、无限售条件流通股份（流通股）</w:t>
      </w:r>
    </w:p>
    <w:p>
      <w:pPr>
        <w:framePr w:w="3830" w:x="1702" w:y="13372"/>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w:t>
      </w:r>
      <w:r>
        <w:rPr>
          <w:rFonts w:eastAsiaTheme="minorEastAsia" w:hAnsiTheme="minorHAnsi" w:cstheme="minorBidi"/>
          <w:color w:val="000000"/>
          <w:spacing w:val="52"/>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A</w:t>
      </w:r>
      <w:r>
        <w:rPr>
          <w:rFonts w:ascii="SimSun" w:hAnsi="SimSun" w:eastAsiaTheme="minorEastAsia" w:cs="SimSun"/>
          <w:color w:val="000000"/>
          <w:sz w:val="21"/>
          <w:szCs w:val="22"/>
          <w:lang w:val="en-US" w:eastAsia="en-US" w:bidi="ar-SA"/>
        </w:rPr>
        <w:t>股</w:t>
      </w:r>
    </w:p>
    <w:p>
      <w:pPr>
        <w:framePr w:w="1190" w:x="9261" w:y="1337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2,366,000</w:t>
      </w:r>
    </w:p>
    <w:p>
      <w:pPr>
        <w:framePr w:w="1402" w:x="5773" w:y="136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156,800,000</w:t>
      </w:r>
    </w:p>
    <w:p>
      <w:pPr>
        <w:framePr w:w="1402" w:x="5773" w:y="13698"/>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156,800,000</w:t>
      </w:r>
    </w:p>
    <w:p>
      <w:pPr>
        <w:framePr w:w="1402" w:x="5773" w:y="13698"/>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158,490,000</w:t>
      </w:r>
    </w:p>
    <w:p>
      <w:pPr>
        <w:framePr w:w="1296" w:x="7367" w:y="136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62,720,000</w:t>
      </w:r>
    </w:p>
    <w:p>
      <w:pPr>
        <w:framePr w:w="1296" w:x="7367" w:y="13698"/>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62,720,000</w:t>
      </w:r>
    </w:p>
    <w:p>
      <w:pPr>
        <w:framePr w:w="1296" w:x="7367" w:y="13698"/>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63,396,000</w:t>
      </w:r>
    </w:p>
    <w:p>
      <w:pPr>
        <w:framePr w:w="1402" w:x="9052" w:y="136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219,520,000</w:t>
      </w:r>
    </w:p>
    <w:p>
      <w:pPr>
        <w:framePr w:w="1402" w:x="9052" w:y="13698"/>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219,520,000</w:t>
      </w:r>
    </w:p>
    <w:p>
      <w:pPr>
        <w:framePr w:w="1402" w:x="9052" w:y="13698"/>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221,886,000</w:t>
      </w:r>
    </w:p>
    <w:p>
      <w:pPr>
        <w:framePr w:w="1507" w:x="1702" w:y="1435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三、股份总数</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8" type="#_x0000_t75" style="width:438.5pt;height:100.65pt;margin-top:631.8pt;margin-left:78.45pt;mso-position-horizontal-relative:page;mso-position-vertical-relative:page;position:absolute;z-index:-251656192">
            <v:imagedata r:id="rId7"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2369" w:x="1702" w:y="15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六、摊薄每股收益说明</w:t>
      </w:r>
    </w:p>
    <w:p>
      <w:pPr>
        <w:framePr w:w="8327" w:x="2122" w:y="209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实施送转股方案后，按新股本总额</w:t>
      </w:r>
      <w:r>
        <w:rPr>
          <w:rFonts w:eastAsiaTheme="minorEastAsia" w:hAnsiTheme="minorHAnsi" w:cstheme="minorBidi"/>
          <w:color w:val="000000"/>
          <w:spacing w:val="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221,886,000</w:t>
      </w:r>
      <w:r>
        <w:rPr>
          <w:rFonts w:ascii="SimSun" w:hAnsi="SimSun" w:eastAsiaTheme="minorEastAsia" w:cs="SimSun"/>
          <w:color w:val="000000"/>
          <w:sz w:val="21"/>
          <w:szCs w:val="22"/>
          <w:lang w:val="en-US" w:eastAsia="en-US" w:bidi="ar-SA"/>
        </w:rPr>
        <w:t>股摊薄计算的</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年度每股收益为</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0.79</w:t>
      </w:r>
    </w:p>
    <w:p>
      <w:pPr>
        <w:framePr w:w="662" w:x="1702" w:y="24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元。</w:t>
      </w:r>
    </w:p>
    <w:p>
      <w:pPr>
        <w:framePr w:w="1930" w:x="1702" w:y="29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七、有关咨询办法</w:t>
      </w:r>
    </w:p>
    <w:p>
      <w:pPr>
        <w:framePr w:w="8736" w:x="1702" w:y="35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公司股东可在工作日通过以下方式咨询本次利润分配及资本公积金转增股本实施的相关</w:t>
      </w:r>
    </w:p>
    <w:p>
      <w:pPr>
        <w:framePr w:w="8736" w:x="1702" w:y="357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事项：</w:t>
      </w:r>
    </w:p>
    <w:p>
      <w:pPr>
        <w:framePr w:w="5098" w:x="2122" w:y="46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联系部门：山东先达农化股份有限公司董事会办公室</w:t>
      </w:r>
    </w:p>
    <w:p>
      <w:pPr>
        <w:framePr w:w="2669" w:x="2122" w:y="529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联系电话：</w:t>
      </w:r>
      <w:r>
        <w:rPr>
          <w:rFonts w:ascii="SimSun" w:eastAsiaTheme="minorEastAsia" w:hAnsiTheme="minorHAnsi" w:cstheme="minorBidi"/>
          <w:color w:val="000000"/>
          <w:sz w:val="21"/>
          <w:szCs w:val="22"/>
          <w:lang w:val="en-US" w:eastAsia="en-US" w:bidi="ar-SA"/>
        </w:rPr>
        <w:t>0531-88818075</w:t>
      </w:r>
    </w:p>
    <w:p>
      <w:pPr>
        <w:framePr w:w="1296" w:x="1702" w:y="582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特此公告。</w:t>
      </w:r>
    </w:p>
    <w:p>
      <w:pPr>
        <w:framePr w:w="3408" w:x="7055" w:y="64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山东先达农化股份有限公司董事会</w:t>
      </w:r>
    </w:p>
    <w:p>
      <w:pPr>
        <w:framePr w:w="1765" w:x="8685" w:y="71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6</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2</w:t>
      </w:r>
      <w:r>
        <w:rPr>
          <w:rFonts w:ascii="SimSun" w:hAnsi="SimSun" w:eastAsiaTheme="minorEastAsia" w:cs="SimSun"/>
          <w:color w:val="000000"/>
          <w:sz w:val="21"/>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FangSong">
    <w:panose1 w:val="00000000000000000000"/>
    <w:charset w:val="01"/>
    <w:family w:val="auto"/>
    <w:notTrueType/>
    <w:pitch w:val="default"/>
    <w:sig w:usb0="01010101" w:usb1="01010101" w:usb2="01010101" w:usb3="01010101" w:csb0="01010101" w:csb1="01010101"/>
  </w:font>
  <w:font w:name="Wingdings">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