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160" w:line="490" w:lineRule="exact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山东先达农化股份有限公司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490" w:lineRule="exact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控股股东及其他关联方资金占用情况的</w:t>
        <w:br/>
        <w:t>专项说明</w:t>
      </w:r>
      <w:bookmarkEnd w:id="3"/>
      <w:bookmarkEnd w:id="4"/>
      <w:bookmarkEnd w:id="5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960" w:line="240" w:lineRule="auto"/>
        <w:ind w:left="0" w:right="0" w:firstLine="0"/>
        <w:jc w:val="center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大华核字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|20211006979</w:t>
      </w:r>
      <w:r>
        <w:rPr>
          <w:color w:val="000000"/>
          <w:spacing w:val="0"/>
          <w:w w:val="100"/>
          <w:position w:val="0"/>
          <w:sz w:val="20"/>
          <w:szCs w:val="20"/>
        </w:rPr>
        <w:t>号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20" w:line="240" w:lineRule="auto"/>
        <w:ind w:left="340" w:right="0" w:firstLine="0"/>
        <w:jc w:val="center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</w:rPr>
        <w:t>大华会计师事务所（特殊普通合伙）</w:t>
      </w:r>
      <w:bookmarkEnd w:id="6"/>
      <w:bookmarkEnd w:id="7"/>
      <w:bookmarkEnd w:id="8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22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DaHuaCeitified Public Accountants (Special General Partnership)</w:t>
      </w: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</w:rPr>
        <w:t>山东先达农化股份有限公司</w:t>
      </w:r>
      <w:bookmarkEnd w:id="10"/>
      <w:bookmarkEnd w:id="11"/>
      <w:bookmarkEnd w:id="9"/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</w:rPr>
        <w:t>控股股东及其他关联方资金占用情况的专项说明</w:t>
      </w:r>
      <w:bookmarkEnd w:id="12"/>
      <w:bookmarkEnd w:id="13"/>
      <w:bookmarkEnd w:id="14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420" w:right="2379" w:bottom="5055" w:left="3027" w:header="2992" w:footer="4627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2"/>
          <w:szCs w:val="22"/>
        </w:rPr>
        <w:t>（截止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2020</w:t>
      </w:r>
      <w:r>
        <w:rPr>
          <w:color w:val="000000"/>
          <w:spacing w:val="0"/>
          <w:w w:val="100"/>
          <w:position w:val="0"/>
          <w:sz w:val="22"/>
          <w:szCs w:val="22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12</w:t>
      </w:r>
      <w:r>
        <w:rPr>
          <w:color w:val="000000"/>
          <w:spacing w:val="0"/>
          <w:w w:val="100"/>
          <w:position w:val="0"/>
          <w:sz w:val="22"/>
          <w:szCs w:val="22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31</w:t>
      </w:r>
      <w:r>
        <w:rPr>
          <w:color w:val="000000"/>
          <w:spacing w:val="0"/>
          <w:w w:val="100"/>
          <w:position w:val="0"/>
          <w:sz w:val="22"/>
          <w:szCs w:val="22"/>
        </w:rPr>
        <w:t>日）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293" w:right="0" w:bottom="883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framePr w:w="5414" w:h="799" w:wrap="none" w:vAnchor="text" w:hAnchor="page" w:x="3093" w:y="21"/>
        <w:widowControl w:val="0"/>
        <w:shd w:val="clear" w:color="auto" w:fill="auto"/>
        <w:bidi w:val="0"/>
        <w:spacing w:before="0" w:after="0" w:line="389" w:lineRule="exact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控股股东及其他关联方资金占用情况的专项 说明</w:t>
      </w:r>
    </w:p>
    <w:p>
      <w:pPr>
        <w:pStyle w:val="Style12"/>
        <w:keepNext w:val="0"/>
        <w:keepLines w:val="0"/>
        <w:framePr w:w="418" w:h="317" w:wrap="none" w:vAnchor="text" w:hAnchor="page" w:x="9551" w:y="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  <w:lang w:val="en-US" w:eastAsia="en-US" w:bidi="en-US"/>
        </w:rPr>
        <w:t>1-2</w:t>
      </w:r>
    </w:p>
    <w:p>
      <w:pPr>
        <w:widowControl w:val="0"/>
        <w:spacing w:line="360" w:lineRule="exact"/>
      </w:pPr>
    </w:p>
    <w:p>
      <w:pPr>
        <w:widowControl w:val="0"/>
        <w:spacing w:after="43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293" w:right="821" w:bottom="8838" w:left="227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7" w:lineRule="exact"/>
        <w:rPr>
          <w:sz w:val="2"/>
          <w:szCs w:val="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93" w:right="0" w:bottom="159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396" w:lineRule="exact"/>
        <w:ind w:left="800" w:right="0" w:firstLine="0"/>
        <w:jc w:val="left"/>
        <w:rPr>
          <w:sz w:val="26"/>
          <w:szCs w:val="26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93" w:right="835" w:bottom="1597" w:left="225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6"/>
          <w:szCs w:val="26"/>
        </w:rPr>
        <w:t>山东先达农化股份有限公司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2020</w:t>
      </w:r>
      <w:r>
        <w:rPr>
          <w:color w:val="000000"/>
          <w:spacing w:val="0"/>
          <w:w w:val="100"/>
          <w:position w:val="0"/>
          <w:sz w:val="26"/>
          <w:szCs w:val="26"/>
        </w:rPr>
        <w:t>年度非经营 性资金占用及其他关联资金往来情况汇总表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25400</wp:posOffset>
                </wp:positionV>
                <wp:extent cx="2674620" cy="32893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74620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</w:rPr>
                              <w:t>彊联大革會針師事残可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4.5pt;margin-top:2.pt;width:210.59999999999999pt;height:25.900000000000002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</w:rPr>
                        <w:t>彊联大革會針師事残可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15"/>
          <w:szCs w:val="15"/>
        </w:rPr>
        <w:t>地址：北京市海淀区西四环中路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</w:rPr>
        <w:t>16</w:t>
      </w:r>
      <w:r>
        <w:rPr>
          <w:color w:val="000000"/>
          <w:spacing w:val="0"/>
          <w:w w:val="100"/>
          <w:position w:val="0"/>
          <w:sz w:val="15"/>
          <w:szCs w:val="15"/>
        </w:rPr>
        <w:t>号院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</w:rPr>
        <w:t>7</w:t>
      </w:r>
      <w:r>
        <w:rPr>
          <w:color w:val="000000"/>
          <w:spacing w:val="0"/>
          <w:w w:val="100"/>
          <w:position w:val="0"/>
          <w:sz w:val="15"/>
          <w:szCs w:val="15"/>
        </w:rPr>
        <w:t>号楼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</w:rPr>
        <w:t>9</w:t>
      </w:r>
      <w:r>
        <w:rPr>
          <w:color w:val="000000"/>
          <w:spacing w:val="0"/>
          <w:w w:val="100"/>
          <w:position w:val="0"/>
          <w:sz w:val="15"/>
          <w:szCs w:val="15"/>
        </w:rPr>
        <w:t>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</w:rPr>
        <w:t>电话：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lang w:val="en-US" w:eastAsia="en-US" w:bidi="en-US"/>
        </w:rPr>
        <w:t xml:space="preserve">+86-10-5224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</w:rPr>
        <w:t>2638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</w:rPr>
        <w:t>传真：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lang w:val="en-US" w:eastAsia="en-US" w:bidi="en-US"/>
        </w:rPr>
        <w:t xml:space="preserve">+86-10-5835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</w:rPr>
        <w:t>0077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900" w:line="240" w:lineRule="auto"/>
        <w:ind w:left="0" w:right="0" w:firstLine="0"/>
        <w:jc w:val="right"/>
        <w:rPr>
          <w:sz w:val="15"/>
          <w:szCs w:val="15"/>
        </w:rPr>
      </w:pPr>
      <w:r>
        <w:fldChar w:fldCharType="begin"/>
      </w:r>
      <w:r>
        <w:rPr/>
        <w:instrText> HYPERLINK "http://www.dahua-cpa.com"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lang w:val="en-US" w:eastAsia="en-US" w:bidi="en-US"/>
        </w:rPr>
        <w:t>www.dahua-cpa.com</w:t>
      </w:r>
      <w:r>
        <w:fldChar w:fldCharType="end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  <w:rPr>
          <w:sz w:val="32"/>
          <w:szCs w:val="32"/>
        </w:rPr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z w:val="32"/>
          <w:szCs w:val="32"/>
        </w:rPr>
        <w:t>控股股东及其他关联方</w:t>
      </w:r>
      <w:bookmarkEnd w:id="15"/>
      <w:bookmarkEnd w:id="16"/>
      <w:bookmarkEnd w:id="1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center"/>
        <w:rPr>
          <w:sz w:val="32"/>
          <w:szCs w:val="32"/>
        </w:rPr>
      </w:pPr>
      <w:bookmarkStart w:id="15" w:name="bookmark15"/>
      <w:bookmarkStart w:id="16" w:name="bookmark16"/>
      <w:bookmarkStart w:id="18" w:name="bookmark18"/>
      <w:r>
        <w:rPr>
          <w:color w:val="000000"/>
          <w:spacing w:val="0"/>
          <w:w w:val="100"/>
          <w:position w:val="0"/>
          <w:sz w:val="32"/>
          <w:szCs w:val="32"/>
        </w:rPr>
        <w:t>资金占用情况的专项说明</w:t>
      </w:r>
      <w:bookmarkEnd w:id="15"/>
      <w:bookmarkEnd w:id="16"/>
      <w:bookmarkEnd w:id="18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84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大华核字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[2021]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006979</w:t>
      </w:r>
      <w:r>
        <w:rPr>
          <w:color w:val="000000"/>
          <w:spacing w:val="0"/>
          <w:w w:val="100"/>
          <w:position w:val="0"/>
          <w:sz w:val="20"/>
          <w:szCs w:val="20"/>
        </w:rPr>
        <w:t>号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519" w:lineRule="exact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山东先达农化股份有限公司全体股东：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519" w:lineRule="exact"/>
        <w:ind w:left="0" w:right="0" w:firstLine="54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我们接受委托，依据《中国注册会计师执业准则》审计了山东先 达农化股份有限公司（以下简称先达农化公司）</w:t>
      </w:r>
      <w:r>
        <w:rPr>
          <w:color w:val="000000"/>
          <w:spacing w:val="0"/>
          <w:w w:val="100"/>
          <w:position w:val="0"/>
          <w:sz w:val="26"/>
          <w:szCs w:val="26"/>
        </w:rPr>
        <w:t>2020</w:t>
      </w:r>
      <w:r>
        <w:rPr>
          <w:color w:val="000000"/>
          <w:spacing w:val="0"/>
          <w:w w:val="100"/>
          <w:position w:val="0"/>
          <w:sz w:val="24"/>
          <w:szCs w:val="24"/>
        </w:rPr>
        <w:t>年度财务报表， 包括</w:t>
      </w:r>
      <w:r>
        <w:rPr>
          <w:color w:val="000000"/>
          <w:spacing w:val="0"/>
          <w:w w:val="100"/>
          <w:position w:val="0"/>
          <w:sz w:val="26"/>
          <w:szCs w:val="26"/>
        </w:rPr>
        <w:t>2020</w:t>
      </w:r>
      <w:r>
        <w:rPr>
          <w:color w:val="000000"/>
          <w:spacing w:val="0"/>
          <w:w w:val="100"/>
          <w:position w:val="0"/>
          <w:sz w:val="24"/>
          <w:szCs w:val="24"/>
        </w:rPr>
        <w:t>年</w:t>
      </w:r>
      <w:r>
        <w:rPr>
          <w:color w:val="000000"/>
          <w:spacing w:val="0"/>
          <w:w w:val="100"/>
          <w:position w:val="0"/>
          <w:sz w:val="26"/>
          <w:szCs w:val="26"/>
        </w:rPr>
        <w:t>12</w:t>
      </w:r>
      <w:r>
        <w:rPr>
          <w:color w:val="000000"/>
          <w:spacing w:val="0"/>
          <w:w w:val="100"/>
          <w:position w:val="0"/>
          <w:sz w:val="24"/>
          <w:szCs w:val="24"/>
        </w:rPr>
        <w:t>月</w:t>
      </w:r>
      <w:r>
        <w:rPr>
          <w:color w:val="000000"/>
          <w:spacing w:val="0"/>
          <w:w w:val="100"/>
          <w:position w:val="0"/>
          <w:sz w:val="26"/>
          <w:szCs w:val="26"/>
        </w:rPr>
        <w:t>31</w:t>
      </w:r>
      <w:r>
        <w:rPr>
          <w:color w:val="000000"/>
          <w:spacing w:val="0"/>
          <w:w w:val="100"/>
          <w:position w:val="0"/>
          <w:sz w:val="24"/>
          <w:szCs w:val="24"/>
        </w:rPr>
        <w:t>日的合并及母公司资产负债表，</w:t>
      </w:r>
      <w:r>
        <w:rPr>
          <w:color w:val="000000"/>
          <w:spacing w:val="0"/>
          <w:w w:val="100"/>
          <w:position w:val="0"/>
          <w:sz w:val="26"/>
          <w:szCs w:val="26"/>
        </w:rPr>
        <w:t>2020</w:t>
      </w:r>
      <w:r>
        <w:rPr>
          <w:color w:val="000000"/>
          <w:spacing w:val="0"/>
          <w:w w:val="100"/>
          <w:position w:val="0"/>
          <w:sz w:val="24"/>
          <w:szCs w:val="24"/>
        </w:rPr>
        <w:t>年度的合 并及母公司利润表、合并及母公司现金流量表和合并及母公司股东权 益变动表以及财务报表附注，并于</w:t>
      </w:r>
      <w:r>
        <w:rPr>
          <w:color w:val="000000"/>
          <w:spacing w:val="0"/>
          <w:w w:val="100"/>
          <w:position w:val="0"/>
          <w:sz w:val="26"/>
          <w:szCs w:val="26"/>
        </w:rPr>
        <w:t>2021</w:t>
      </w:r>
      <w:r>
        <w:rPr>
          <w:color w:val="000000"/>
          <w:spacing w:val="0"/>
          <w:w w:val="100"/>
          <w:position w:val="0"/>
          <w:sz w:val="24"/>
          <w:szCs w:val="24"/>
        </w:rPr>
        <w:t>年</w:t>
      </w:r>
      <w:r>
        <w:rPr>
          <w:color w:val="000000"/>
          <w:spacing w:val="0"/>
          <w:w w:val="100"/>
          <w:position w:val="0"/>
          <w:sz w:val="26"/>
          <w:szCs w:val="26"/>
        </w:rPr>
        <w:t>4</w:t>
      </w:r>
      <w:r>
        <w:rPr>
          <w:color w:val="000000"/>
          <w:spacing w:val="0"/>
          <w:w w:val="100"/>
          <w:position w:val="0"/>
          <w:sz w:val="24"/>
          <w:szCs w:val="24"/>
        </w:rPr>
        <w:t>月</w:t>
      </w:r>
      <w:r>
        <w:rPr>
          <w:color w:val="000000"/>
          <w:spacing w:val="0"/>
          <w:w w:val="100"/>
          <w:position w:val="0"/>
          <w:sz w:val="26"/>
          <w:szCs w:val="26"/>
        </w:rPr>
        <w:t>26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日签发了大华审字 </w:t>
      </w:r>
      <w:r>
        <w:rPr>
          <w:color w:val="000000"/>
          <w:spacing w:val="0"/>
          <w:w w:val="100"/>
          <w:position w:val="0"/>
          <w:sz w:val="26"/>
          <w:szCs w:val="26"/>
          <w:lang w:val="en-US" w:eastAsia="en-US" w:bidi="en-US"/>
        </w:rPr>
        <w:t>[202U0010330</w:t>
      </w:r>
      <w:r>
        <w:rPr>
          <w:color w:val="000000"/>
          <w:spacing w:val="0"/>
          <w:w w:val="100"/>
          <w:position w:val="0"/>
          <w:sz w:val="24"/>
          <w:szCs w:val="24"/>
        </w:rPr>
        <w:t>号标准无保留意见的审计报告。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519" w:lineRule="exact"/>
        <w:ind w:left="0" w:right="0" w:firstLine="54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根据中国证券监督管理委员会发布的《关于规范上市公司与关联 方资金往来及上市公司对外担保若干问题的通知》</w:t>
      </w:r>
      <w:r>
        <w:rPr>
          <w:color w:val="000000"/>
          <w:spacing w:val="0"/>
          <w:w w:val="100"/>
          <w:position w:val="0"/>
          <w:sz w:val="26"/>
          <w:szCs w:val="26"/>
        </w:rPr>
        <w:t>（2017</w:t>
      </w:r>
      <w:r>
        <w:rPr>
          <w:color w:val="000000"/>
          <w:spacing w:val="0"/>
          <w:w w:val="100"/>
          <w:position w:val="0"/>
          <w:sz w:val="24"/>
          <w:szCs w:val="24"/>
        </w:rPr>
        <w:t>年修订）和 上海证券交易所发布的《上海证券交易所上市公司定期报告业务指南》 的规定，就先达农化公司编制的</w:t>
      </w:r>
      <w:r>
        <w:rPr>
          <w:color w:val="000000"/>
          <w:spacing w:val="0"/>
          <w:w w:val="100"/>
          <w:position w:val="0"/>
          <w:sz w:val="26"/>
          <w:szCs w:val="26"/>
        </w:rPr>
        <w:t>2020</w:t>
      </w:r>
      <w:r>
        <w:rPr>
          <w:color w:val="000000"/>
          <w:spacing w:val="0"/>
          <w:w w:val="100"/>
          <w:position w:val="0"/>
          <w:sz w:val="24"/>
          <w:szCs w:val="24"/>
        </w:rPr>
        <w:t>年度非经营性资金占用及其他 关联资金往来情况汇总表（以下简称“汇总表”）出具专项说明。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20" w:line="521" w:lineRule="exact"/>
        <w:ind w:left="0" w:right="0" w:firstLine="54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如实编制和对外披露该汇总表，并确保其真实性、合法性及完整 性是先达农化公司管理层的责任。我们对汇总表所载资料与我们审计 先达农化公司</w:t>
      </w:r>
      <w:r>
        <w:rPr>
          <w:color w:val="000000"/>
          <w:spacing w:val="0"/>
          <w:w w:val="100"/>
          <w:position w:val="0"/>
          <w:sz w:val="26"/>
          <w:szCs w:val="26"/>
        </w:rPr>
        <w:t>2020</w:t>
      </w:r>
      <w:r>
        <w:rPr>
          <w:color w:val="000000"/>
          <w:spacing w:val="0"/>
          <w:w w:val="100"/>
          <w:position w:val="0"/>
          <w:sz w:val="24"/>
          <w:szCs w:val="24"/>
        </w:rPr>
        <w:t>年度财务报表时所复核的会计资料和经审计的财 务报表的相关内容进行了核对，在所有重大方面未发现不一致。除了 对先达农化公司实施</w:t>
      </w:r>
      <w:r>
        <w:rPr>
          <w:color w:val="000000"/>
          <w:spacing w:val="0"/>
          <w:w w:val="100"/>
          <w:position w:val="0"/>
          <w:sz w:val="26"/>
          <w:szCs w:val="26"/>
        </w:rPr>
        <w:t>2020</w:t>
      </w:r>
      <w:r>
        <w:rPr>
          <w:color w:val="000000"/>
          <w:spacing w:val="0"/>
          <w:w w:val="100"/>
          <w:position w:val="0"/>
          <w:sz w:val="24"/>
          <w:szCs w:val="24"/>
        </w:rPr>
        <w:t>年度财务报表审计中所执行的对关联方交 易有关的审计程序外，我们未对汇总表所载资料执行额外的审计程序。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15"/>
          <w:szCs w:val="15"/>
        </w:rPr>
      </w:pPr>
      <w:r>
        <mc:AlternateContent>
          <mc:Choice Requires="wps">
            <w:drawing>
              <wp:anchor distT="0" distB="0" distL="63500" distR="63500" simplePos="0" relativeHeight="125829380" behindDoc="0" locked="0" layoutInCell="1" allowOverlap="1">
                <wp:simplePos x="0" y="0"/>
                <wp:positionH relativeFrom="page">
                  <wp:posOffset>1777365</wp:posOffset>
                </wp:positionH>
                <wp:positionV relativeFrom="paragraph">
                  <wp:posOffset>12700</wp:posOffset>
                </wp:positionV>
                <wp:extent cx="461645" cy="25146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1645" cy="2514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4" w:lineRule="exact"/>
                              <w:ind w:left="0" w:right="0" w:firstLine="0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 xml:space="preserve">MOORE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</w:rPr>
                              <w:t>大华国际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39.95000000000002pt;margin-top:1.pt;width:36.350000000000001pt;height:19.800000000000001pt;z-index:-125829373;mso-wrap-distance-left:5.pt;mso-wrap-distance-right:5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4" w:lineRule="exact"/>
                        <w:ind w:left="0" w:right="0" w:firstLine="0"/>
                        <w:jc w:val="both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en-US" w:eastAsia="en-US" w:bidi="en-US"/>
                        </w:rPr>
                        <w:t xml:space="preserve">MOORE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</w:rPr>
                        <w:t>大华国际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15"/>
          <w:szCs w:val="15"/>
          <w:lang w:val="zh-CN" w:eastAsia="zh-CN" w:bidi="zh-CN"/>
        </w:rPr>
        <w:t>|</w:t>
      </w:r>
      <w:r>
        <w:rPr>
          <w:color w:val="000000"/>
          <w:spacing w:val="0"/>
          <w:w w:val="100"/>
          <w:position w:val="0"/>
          <w:sz w:val="15"/>
          <w:szCs w:val="15"/>
        </w:rPr>
        <w:t>大学修计師爭笏旳大集核字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</w:rPr>
        <w:t>[2021]006979</w:t>
      </w:r>
      <w:r>
        <w:rPr>
          <w:color w:val="000000"/>
          <w:spacing w:val="0"/>
          <w:w w:val="100"/>
          <w:position w:val="0"/>
          <w:sz w:val="15"/>
          <w:szCs w:val="15"/>
        </w:rPr>
        <w:t>号关联方资金占用情况的专项说明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为了更好地理解先达农化公司</w:t>
      </w:r>
      <w:r>
        <w:rPr>
          <w:color w:val="000000"/>
          <w:spacing w:val="0"/>
          <w:w w:val="100"/>
          <w:position w:val="0"/>
          <w:sz w:val="26"/>
          <w:szCs w:val="26"/>
        </w:rPr>
        <w:t>2020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年度控股股东及其他关联方资金 </w:t>
      </w:r>
      <w:r>
        <w:rPr>
          <w:color w:val="000000"/>
          <w:spacing w:val="0"/>
          <w:w w:val="100"/>
          <w:position w:val="0"/>
          <w:sz w:val="24"/>
          <w:szCs w:val="24"/>
        </w:rPr>
        <w:t>占用的情况，后附的汇总表应当与已审财务报表一并阅读。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 xml:space="preserve">本专项说明是我们根据中国证监会及其派出机构和上海证券交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易所的要求出具的，不得用作其他用途。由于使用不当所造成的后果, </w:t>
      </w:r>
      <w:r>
        <w:rPr>
          <w:color w:val="000000"/>
          <w:spacing w:val="0"/>
          <w:w w:val="100"/>
          <w:position w:val="0"/>
          <w:sz w:val="24"/>
          <w:szCs w:val="24"/>
        </w:rPr>
        <w:t>与执行本业务的注册会计师和会计师事务所无关。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附件：山东先达农化股份有限公司</w:t>
      </w:r>
      <w:r>
        <w:rPr>
          <w:color w:val="000000"/>
          <w:spacing w:val="0"/>
          <w:w w:val="100"/>
          <w:position w:val="0"/>
          <w:sz w:val="26"/>
          <w:szCs w:val="26"/>
        </w:rPr>
        <w:t>2020</w:t>
      </w:r>
      <w:r>
        <w:rPr>
          <w:color w:val="000000"/>
          <w:spacing w:val="0"/>
          <w:w w:val="100"/>
          <w:position w:val="0"/>
          <w:sz w:val="24"/>
          <w:szCs w:val="24"/>
        </w:rPr>
        <w:t>年度非经营性资金占用 及其他关联资金往来情况汇总表</w:t>
      </w:r>
    </w:p>
    <w:p>
      <w:pPr>
        <w:widowControl w:val="0"/>
        <w:spacing w:line="1" w:lineRule="exact"/>
        <w:sectPr>
          <w:footerReference w:type="default" r:id="rId5"/>
          <w:foot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793" w:right="835" w:bottom="1597" w:left="2259" w:header="0" w:footer="3" w:gutter="0"/>
          <w:cols w:space="720"/>
          <w:noEndnote/>
          <w:titlePg/>
          <w:rtlGutter w:val="0"/>
          <w:docGrid w:linePitch="360"/>
        </w:sectPr>
      </w:pPr>
      <w:r>
        <w:drawing>
          <wp:anchor distT="3180715" distB="255905" distL="0" distR="0" simplePos="0" relativeHeight="125829382" behindDoc="0" locked="0" layoutInCell="1" allowOverlap="1">
            <wp:simplePos x="0" y="0"/>
            <wp:positionH relativeFrom="page">
              <wp:posOffset>1604010</wp:posOffset>
            </wp:positionH>
            <wp:positionV relativeFrom="paragraph">
              <wp:posOffset>3180715</wp:posOffset>
            </wp:positionV>
            <wp:extent cx="2529840" cy="1493520"/>
            <wp:wrapTopAndBottom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529840" cy="14935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3441065" distB="982980" distL="0" distR="0" simplePos="0" relativeHeight="125829383" behindDoc="0" locked="0" layoutInCell="1" allowOverlap="1">
                <wp:simplePos x="0" y="0"/>
                <wp:positionH relativeFrom="page">
                  <wp:posOffset>4630420</wp:posOffset>
                </wp:positionH>
                <wp:positionV relativeFrom="paragraph">
                  <wp:posOffset>3441065</wp:posOffset>
                </wp:positionV>
                <wp:extent cx="1261745" cy="50292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61745" cy="502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中国注册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zh-CN" w:eastAsia="zh-CN" w:bidi="zh-CN"/>
                              </w:rPr>
                              <w:t>会计康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（项目合伙人）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64.60000000000002pt;margin-top:270.94999999999999pt;width:99.350000000000009pt;height:39.600000000000001pt;z-index:-125829370;mso-wrap-distance-left:0;mso-wrap-distance-top:270.94999999999999pt;mso-wrap-distance-right:0;mso-wrap-distance-bottom:77.400000000000006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中国注册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zh-CN" w:eastAsia="zh-CN" w:bidi="zh-CN"/>
                        </w:rPr>
                        <w:t>会计康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（项目合伙人）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2819400" distB="1271270" distL="0" distR="0" simplePos="0" relativeHeight="125829385" behindDoc="0" locked="0" layoutInCell="1" allowOverlap="1">
            <wp:simplePos x="0" y="0"/>
            <wp:positionH relativeFrom="page">
              <wp:posOffset>5631815</wp:posOffset>
            </wp:positionH>
            <wp:positionV relativeFrom="paragraph">
              <wp:posOffset>2819400</wp:posOffset>
            </wp:positionV>
            <wp:extent cx="1896110" cy="835025"/>
            <wp:wrapTopAndBottom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896110" cy="8350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6322060</wp:posOffset>
                </wp:positionH>
                <wp:positionV relativeFrom="paragraph">
                  <wp:posOffset>3733800</wp:posOffset>
                </wp:positionV>
                <wp:extent cx="370205" cy="210185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020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</w:rPr>
                              <w:t>媛媛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97.80000000000001pt;margin-top:294.pt;width:29.150000000000002pt;height:16.5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媛媛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4113530" distB="241935" distL="1330325" distR="0" simplePos="0" relativeHeight="125829386" behindDoc="0" locked="0" layoutInCell="1" allowOverlap="1">
            <wp:simplePos x="0" y="0"/>
            <wp:positionH relativeFrom="page">
              <wp:posOffset>5965825</wp:posOffset>
            </wp:positionH>
            <wp:positionV relativeFrom="paragraph">
              <wp:posOffset>4113530</wp:posOffset>
            </wp:positionV>
            <wp:extent cx="963295" cy="572770"/>
            <wp:wrapTopAndBottom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963295" cy="5727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4635500</wp:posOffset>
                </wp:positionH>
                <wp:positionV relativeFrom="paragraph">
                  <wp:posOffset>4396740</wp:posOffset>
                </wp:positionV>
                <wp:extent cx="1261745" cy="201295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6174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中国注册会计师: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65.pt;margin-top:346.19999999999999pt;width:99.350000000000009pt;height:15.8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中国注册会计师: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6212840</wp:posOffset>
                </wp:positionH>
                <wp:positionV relativeFrom="paragraph">
                  <wp:posOffset>4676140</wp:posOffset>
                </wp:positionV>
                <wp:extent cx="429895" cy="251460"/>
                <wp:wrapNone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9895" cy="2514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2F181A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</w:rPr>
                              <w:t>陈磊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89.19999999999999pt;margin-top:368.19999999999999pt;width:33.850000000000001pt;height:19.80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2F181A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陈磊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widowControl w:val="0"/>
        <w:spacing w:line="89" w:lineRule="exact"/>
        <w:rPr>
          <w:sz w:val="7"/>
          <w:szCs w:val="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62" w:right="0" w:bottom="146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62" w:right="1568" w:bottom="1462" w:left="2346" w:header="0" w:footer="3" w:gutter="0"/>
          <w:cols w:space="720"/>
          <w:noEndnote/>
          <w:rtlGutter w:val="0"/>
          <w:docGrid w:linePitch="360"/>
        </w:sectPr>
      </w:pPr>
      <w:r>
        <w:rPr>
          <w:color w:val="343047"/>
          <w:spacing w:val="0"/>
          <w:w w:val="100"/>
          <w:position w:val="0"/>
          <w:sz w:val="24"/>
          <w:szCs w:val="24"/>
        </w:rPr>
        <w:t>二</w:t>
      </w:r>
      <w:r>
        <w:rPr>
          <w:color w:val="000000"/>
          <w:spacing w:val="0"/>
          <w:w w:val="100"/>
          <w:position w:val="0"/>
          <w:sz w:val="26"/>
          <w:szCs w:val="26"/>
          <w:lang w:val="en-US" w:eastAsia="en-US" w:bidi="en-US"/>
        </w:rPr>
        <w:t>O</w:t>
      </w:r>
      <w:r>
        <w:rPr>
          <w:color w:val="000000"/>
          <w:spacing w:val="0"/>
          <w:w w:val="100"/>
          <w:position w:val="0"/>
          <w:sz w:val="24"/>
          <w:szCs w:val="24"/>
        </w:rPr>
        <w:t>二一年四月二十六日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山东先达农化股份有限公司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2020</w:t>
      </w:r>
      <w:r>
        <w:rPr>
          <w:color w:val="000000"/>
          <w:spacing w:val="0"/>
          <w:w w:val="100"/>
          <w:position w:val="0"/>
          <w:sz w:val="20"/>
          <w:szCs w:val="20"/>
        </w:rPr>
        <w:t>年度非经营性资金占用及其他关联资金往来情况汇总表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500" w:right="0" w:firstLine="0"/>
        <w:jc w:val="left"/>
      </w:pPr>
      <w:r>
        <w:rPr>
          <w:color w:val="000000"/>
          <w:spacing w:val="0"/>
          <w:w w:val="100"/>
          <w:position w:val="0"/>
        </w:rPr>
        <w:t>单位：万元</w:t>
      </w:r>
    </w:p>
    <w:tbl>
      <w:tblPr>
        <w:tblOverlap w:val="never"/>
        <w:jc w:val="center"/>
        <w:tblLayout w:type="fixed"/>
      </w:tblPr>
      <w:tblGrid>
        <w:gridCol w:w="907"/>
        <w:gridCol w:w="2045"/>
        <w:gridCol w:w="1375"/>
        <w:gridCol w:w="1094"/>
        <w:gridCol w:w="1750"/>
        <w:gridCol w:w="1289"/>
        <w:gridCol w:w="1044"/>
        <w:gridCol w:w="1044"/>
        <w:gridCol w:w="1188"/>
        <w:gridCol w:w="1505"/>
        <w:gridCol w:w="1123"/>
      </w:tblGrid>
      <w:tr>
        <w:trPr>
          <w:trHeight w:val="5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exact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非经营性 资金占用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资金占用方名称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占用方与上市公司 的关联关系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上市公司核算 的会计科目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2020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年期初占用资金余额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exact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2020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年度占用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JR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计 发生金额（不含利 息）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1" w:lineRule="exac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2020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年度占用 资金的利息 （如有）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4" w:lineRule="exact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蚱度偿还 累计发生金额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4" w:lineRule="exac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2020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年期末占用 资金余额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占用形成原因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占用性质</w:t>
            </w:r>
          </w:p>
        </w:tc>
      </w:tr>
      <w:tr>
        <w:trPr>
          <w:trHeight w:val="3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exact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现大股东及 其附属企业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小计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——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—</w:t>
            </w:r>
          </w:p>
        </w:tc>
      </w:tr>
      <w:tr>
        <w:trPr>
          <w:trHeight w:val="3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exact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前大股东及 其附属企业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小计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—</w:t>
            </w: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总计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——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—</w:t>
            </w:r>
          </w:p>
        </w:tc>
      </w:tr>
      <w:tr>
        <w:trPr>
          <w:trHeight w:val="5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1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其他关联 资金往来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资金往来方名称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exac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往来方与上市公司 的关联关系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exac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上市公司核算 的罰科目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2020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年期初往来资金余额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exact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2020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年度往来累计 发生金额（不含利 息）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1" w:lineRule="exac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2020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年度往来 资金的利息 （如有）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4" w:lineRule="exact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2020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年度偿还 累计发生金额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4" w:lineRule="exac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2020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年期末往来 资金余额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往来形成原因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往来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ms</w:t>
            </w:r>
          </w:p>
        </w:tc>
      </w:tr>
      <w:tr>
        <w:trPr>
          <w:trHeight w:val="3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大股东及其 附属企业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上市公司的 子公司及其 附属企业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辽宁先达农业科学有限公司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全资子公司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其他应收款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 xml:space="preserve">17,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 xml:space="preserve">985.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 xml:space="preserve">21. 108.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 xml:space="preserve">39,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 xml:space="preserve">090.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往来款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非经营性占用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济南瑞斯邦国际贸易有限公司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全资子公切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其他应收款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 xml:space="preserve">160.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 xml:space="preserve">160.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往来款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北经营性占用</w:t>
            </w:r>
          </w:p>
        </w:tc>
      </w:tr>
      <w:tr>
        <w:trPr>
          <w:trHeight w:val="38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关联自然人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exact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其他关联方 及其附属企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exac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总计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——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——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 xml:space="preserve">18,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 xml:space="preserve">145.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 xml:space="preserve">21,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 xml:space="preserve">108.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 xml:space="preserve">162.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 xml:space="preserve">39,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 xml:space="preserve">090.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—</w:t>
            </w:r>
          </w:p>
        </w:tc>
      </w:tr>
    </w:tbl>
    <w:p>
      <w:pPr>
        <w:sectPr>
          <w:footerReference w:type="default" r:id="rId13"/>
          <w:footnotePr>
            <w:pos w:val="pageBottom"/>
            <w:numFmt w:val="decimal"/>
            <w:numRestart w:val="continuous"/>
          </w:footnotePr>
          <w:pgSz w:w="16840" w:h="11900" w:orient="landscape"/>
          <w:pgMar w:top="1895" w:right="1245" w:bottom="1770" w:left="1231" w:header="1467" w:footer="3" w:gutter="0"/>
          <w:cols w:space="720"/>
          <w:noEndnote/>
          <w:rtlGutter w:val="0"/>
          <w:docGrid w:linePitch="360"/>
        </w:sectPr>
      </w:pPr>
    </w:p>
    <w:p>
      <w:pPr>
        <w:pStyle w:val="Style18"/>
        <w:keepNext w:val="0"/>
        <w:keepLines w:val="0"/>
        <w:framePr w:w="3427" w:h="1116" w:wrap="none" w:hAnchor="page" w:x="6150" w:y="1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6"/>
          <w:szCs w:val="96"/>
        </w:rPr>
      </w:pPr>
      <w:r>
        <w:rPr>
          <w:color w:val="000000"/>
          <w:spacing w:val="0"/>
          <w:w w:val="100"/>
          <w:position w:val="0"/>
          <w:sz w:val="96"/>
          <w:szCs w:val="96"/>
        </w:rPr>
        <w:t>营业执</w:t>
      </w:r>
    </w:p>
    <w:p>
      <w:pPr>
        <w:pStyle w:val="Style18"/>
        <w:keepNext w:val="0"/>
        <w:keepLines w:val="0"/>
        <w:framePr w:w="1174" w:h="468" w:wrap="none" w:hAnchor="page" w:x="8476" w:y="30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本</w:t>
      </w:r>
      <w:r>
        <w:rPr>
          <w:color w:val="000000"/>
          <w:spacing w:val="0"/>
          <w:w w:val="100"/>
          <w:position w:val="0"/>
          <w:sz w:val="26"/>
          <w:szCs w:val="26"/>
        </w:rPr>
        <w:t>）（7-1）</w:t>
      </w:r>
    </w:p>
    <w:p>
      <w:pPr>
        <w:pStyle w:val="Style18"/>
        <w:keepNext w:val="0"/>
        <w:keepLines w:val="0"/>
        <w:framePr w:w="497" w:h="432" w:wrap="none" w:hAnchor="page" w:x="7756" w:y="30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6"/>
          <w:szCs w:val="36"/>
        </w:rPr>
      </w:pPr>
      <w:r>
        <w:rPr>
          <w:color w:val="000000"/>
          <w:spacing w:val="0"/>
          <w:w w:val="100"/>
          <w:position w:val="0"/>
          <w:sz w:val="36"/>
          <w:szCs w:val="36"/>
        </w:rPr>
        <w:t>（副</w:t>
      </w:r>
    </w:p>
    <w:p>
      <w:pPr>
        <w:pStyle w:val="Style18"/>
        <w:keepNext w:val="0"/>
        <w:keepLines w:val="0"/>
        <w:framePr w:w="360" w:h="274" w:wrap="none" w:hAnchor="page" w:x="6323" w:y="41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i/>
          <w:iCs/>
          <w:color w:val="000000"/>
          <w:spacing w:val="0"/>
          <w:w w:val="100"/>
          <w:position w:val="0"/>
          <w:sz w:val="19"/>
          <w:szCs w:val="19"/>
        </w:rPr>
        <w:t>伙）</w:t>
      </w:r>
    </w:p>
    <w:p>
      <w:pPr>
        <w:pStyle w:val="Style18"/>
        <w:keepNext w:val="0"/>
        <w:keepLines w:val="0"/>
        <w:framePr w:w="706" w:h="331" w:wrap="none" w:hAnchor="page" w:x="8901" w:y="45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成立</w:t>
      </w:r>
    </w:p>
    <w:p>
      <w:pPr>
        <w:pStyle w:val="Style18"/>
        <w:keepNext w:val="0"/>
        <w:keepLines w:val="0"/>
        <w:framePr w:w="670" w:h="324" w:wrap="none" w:hAnchor="page" w:x="9729" w:y="45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日期</w:t>
      </w:r>
    </w:p>
    <w:p>
      <w:pPr>
        <w:pStyle w:val="Style18"/>
        <w:keepNext w:val="0"/>
        <w:keepLines w:val="0"/>
        <w:framePr w:w="1476" w:h="266" w:wrap="none" w:hAnchor="page" w:x="10528" w:y="46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2012</w:t>
      </w:r>
      <w:r>
        <w:rPr>
          <w:color w:val="000000"/>
          <w:spacing w:val="0"/>
          <w:w w:val="100"/>
          <w:position w:val="0"/>
          <w:sz w:val="19"/>
          <w:szCs w:val="19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02</w:t>
      </w:r>
      <w:r>
        <w:rPr>
          <w:color w:val="000000"/>
          <w:spacing w:val="0"/>
          <w:w w:val="100"/>
          <w:position w:val="0"/>
          <w:sz w:val="19"/>
          <w:szCs w:val="19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09</w:t>
      </w:r>
      <w:r>
        <w:rPr>
          <w:color w:val="000000"/>
          <w:spacing w:val="0"/>
          <w:w w:val="100"/>
          <w:position w:val="0"/>
          <w:sz w:val="19"/>
          <w:szCs w:val="19"/>
        </w:rPr>
        <w:t>日</w:t>
      </w:r>
    </w:p>
    <w:p>
      <w:pPr>
        <w:pStyle w:val="Style18"/>
        <w:keepNext w:val="0"/>
        <w:keepLines w:val="0"/>
        <w:framePr w:w="1512" w:h="331" w:wrap="none" w:hAnchor="page" w:x="8894" w:y="50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合伙期限</w:t>
      </w:r>
    </w:p>
    <w:p>
      <w:pPr>
        <w:pStyle w:val="Style18"/>
        <w:keepNext w:val="0"/>
        <w:keepLines w:val="0"/>
        <w:framePr w:w="403" w:h="331" w:wrap="none" w:hAnchor="page" w:x="1737" w:y="5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拥</w:t>
      </w:r>
    </w:p>
    <w:p>
      <w:pPr>
        <w:pStyle w:val="Style18"/>
        <w:keepNext w:val="0"/>
        <w:keepLines w:val="0"/>
        <w:framePr w:w="2232" w:h="266" w:wrap="none" w:hAnchor="page" w:x="10535" w:y="50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2012</w:t>
      </w:r>
      <w:r>
        <w:rPr>
          <w:color w:val="000000"/>
          <w:spacing w:val="0"/>
          <w:w w:val="100"/>
          <w:position w:val="0"/>
          <w:sz w:val="19"/>
          <w:szCs w:val="19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02</w:t>
      </w:r>
      <w:r>
        <w:rPr>
          <w:color w:val="000000"/>
          <w:spacing w:val="0"/>
          <w:w w:val="100"/>
          <w:position w:val="0"/>
          <w:sz w:val="19"/>
          <w:szCs w:val="19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09</w:t>
      </w:r>
      <w:r>
        <w:rPr>
          <w:color w:val="000000"/>
          <w:spacing w:val="0"/>
          <w:w w:val="100"/>
          <w:position w:val="0"/>
          <w:sz w:val="19"/>
          <w:szCs w:val="19"/>
        </w:rPr>
        <w:t>日至 长期</w:t>
      </w:r>
    </w:p>
    <w:p>
      <w:pPr>
        <w:pStyle w:val="Style18"/>
        <w:keepNext w:val="0"/>
        <w:keepLines w:val="0"/>
        <w:framePr w:w="720" w:h="266" w:wrap="none" w:hAnchor="page" w:x="3378" w:y="51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梁春,*</w:t>
      </w:r>
    </w:p>
    <w:p>
      <w:pPr>
        <w:pStyle w:val="Style18"/>
        <w:keepNext w:val="0"/>
        <w:keepLines w:val="0"/>
        <w:framePr w:w="1512" w:h="324" w:wrap="none" w:hAnchor="page" w:x="8894" w:y="54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主要</w:t>
      </w:r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经卦所</w:t>
      </w:r>
    </w:p>
    <w:p>
      <w:pPr>
        <w:pStyle w:val="Style18"/>
        <w:keepNext w:val="0"/>
        <w:keepLines w:val="0"/>
        <w:framePr w:w="3910" w:h="259" w:wrap="none" w:hAnchor="page" w:x="10535" w:y="55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9"/>
          <w:szCs w:val="19"/>
        </w:rPr>
        <w:t>北京市海淀区西四环中路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16</w:t>
      </w:r>
      <w:r>
        <w:rPr>
          <w:color w:val="000000"/>
          <w:spacing w:val="0"/>
          <w:w w:val="100"/>
          <w:position w:val="0"/>
          <w:sz w:val="19"/>
          <w:szCs w:val="19"/>
        </w:rPr>
        <w:t>号院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7</w:t>
      </w:r>
      <w:r>
        <w:rPr>
          <w:color w:val="000000"/>
          <w:spacing w:val="0"/>
          <w:w w:val="100"/>
          <w:position w:val="0"/>
          <w:sz w:val="19"/>
          <w:szCs w:val="19"/>
        </w:rPr>
        <w:t>号楼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1101</w:t>
      </w:r>
    </w:p>
    <w:p>
      <w:pPr>
        <w:pStyle w:val="Style18"/>
        <w:keepNext w:val="0"/>
        <w:keepLines w:val="0"/>
        <w:framePr w:w="799" w:h="338" w:wrap="none" w:hAnchor="page" w:x="11493" w:y="79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机关</w:t>
      </w:r>
    </w:p>
    <w:p>
      <w:pPr>
        <w:pStyle w:val="Style18"/>
        <w:keepNext w:val="0"/>
        <w:keepLines w:val="0"/>
        <w:framePr w:w="331" w:h="324" w:wrap="none" w:hAnchor="page" w:x="11032" w:y="80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记</w:t>
      </w:r>
    </w:p>
    <w:p>
      <w:pPr>
        <w:pStyle w:val="Style18"/>
        <w:keepNext w:val="0"/>
        <w:keepLines w:val="0"/>
        <w:framePr w:w="338" w:h="295" w:wrap="none" w:hAnchor="page" w:x="10571" w:y="80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登</w:t>
      </w:r>
    </w:p>
    <w:p>
      <w:pPr>
        <w:pStyle w:val="Style18"/>
        <w:keepNext w:val="0"/>
        <w:keepLines w:val="0"/>
        <w:framePr w:w="583" w:h="317" w:wrap="none" w:hAnchor="page" w:x="12278" w:y="90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2021</w:t>
      </w:r>
    </w:p>
    <w:p>
      <w:pPr>
        <w:pStyle w:val="Style18"/>
        <w:keepNext w:val="0"/>
        <w:keepLines w:val="0"/>
        <w:framePr w:w="3701" w:h="439" w:wrap="none" w:hAnchor="page" w:x="7086" w:y="10203"/>
        <w:widowControl w:val="0"/>
        <w:shd w:val="clear" w:color="auto" w:fill="auto"/>
        <w:bidi w:val="0"/>
        <w:spacing w:before="0" w:after="0" w:line="20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市场主体应当于每年1月1日至6月30日通过 国家企业信用信息公示系统报送公示年度报告。</w:t>
      </w:r>
    </w:p>
    <w:p>
      <w:pPr>
        <w:pStyle w:val="Style18"/>
        <w:keepNext w:val="0"/>
        <w:keepLines w:val="0"/>
        <w:framePr w:w="950" w:h="1116" w:wrap="none" w:hAnchor="page" w:x="9808" w:y="19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6"/>
          <w:szCs w:val="96"/>
        </w:rPr>
      </w:pPr>
      <w:r>
        <w:rPr>
          <w:color w:val="000000"/>
          <w:spacing w:val="0"/>
          <w:w w:val="100"/>
          <w:position w:val="0"/>
          <w:sz w:val="96"/>
          <w:szCs w:val="96"/>
        </w:rPr>
        <w:t>照</w:t>
      </w:r>
    </w:p>
    <w:p>
      <w:pPr>
        <w:pStyle w:val="Style18"/>
        <w:keepNext w:val="0"/>
        <w:keepLines w:val="0"/>
        <w:framePr w:w="4896" w:h="382" w:wrap="none" w:hAnchor="page" w:x="758" w:y="102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国家企业信用信息公示系统网址: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http：/g </w:t>
      </w:r>
      <w:r>
        <w:rPr>
          <w:color w:val="000000"/>
          <w:spacing w:val="0"/>
          <w:w w:val="100"/>
          <w:position w:val="0"/>
          <w:vertAlign w:val="subscript"/>
          <w:lang w:val="en-US" w:eastAsia="en-US" w:bidi="en-US"/>
        </w:rPr>
        <w:t>gsxt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vertAlign w:val="subscript"/>
          <w:lang w:val="en-US" w:eastAsia="en-US" w:bidi="en-US"/>
        </w:rPr>
        <w:t>gov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vertAlign w:val="subscript"/>
          <w:lang w:val="en-US" w:eastAsia="en-US" w:bidi="en-US"/>
        </w:rPr>
        <w:t>cn</w:t>
      </w:r>
    </w:p>
    <w:p>
      <w:pPr>
        <w:pStyle w:val="Style18"/>
        <w:keepNext w:val="0"/>
        <w:keepLines w:val="0"/>
        <w:framePr w:w="878" w:h="1210" w:wrap="none" w:hAnchor="page" w:x="13602" w:y="2103"/>
        <w:widowControl w:val="0"/>
        <w:shd w:val="clear" w:color="auto" w:fill="auto"/>
        <w:bidi w:val="0"/>
        <w:spacing w:before="0" w:after="0" w:line="197" w:lineRule="exact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</w:rPr>
        <w:t xml:space="preserve">扫描二维码登泉 </w:t>
      </w:r>
      <w:r>
        <w:rPr>
          <w:color w:val="000000"/>
          <w:spacing w:val="0"/>
          <w:w w:val="100"/>
          <w:position w:val="0"/>
          <w:sz w:val="11"/>
          <w:szCs w:val="11"/>
          <w:lang w:val="zh-CN" w:eastAsia="zh-CN" w:bidi="zh-CN"/>
        </w:rPr>
        <w:t>“国</w:t>
      </w:r>
      <w:r>
        <w:rPr>
          <w:color w:val="000000"/>
          <w:spacing w:val="0"/>
          <w:w w:val="100"/>
          <w:position w:val="0"/>
          <w:sz w:val="11"/>
          <w:szCs w:val="11"/>
        </w:rPr>
        <w:t>家企业信用 信以公示系统” 了解更多登记、 备案、许可、监 管信息</w:t>
      </w:r>
    </w:p>
    <w:p>
      <w:pPr>
        <w:pStyle w:val="Style18"/>
        <w:keepNext w:val="0"/>
        <w:keepLines w:val="0"/>
        <w:framePr w:w="3679" w:h="482" w:wrap="none" w:hAnchor="page" w:x="4761" w:y="5538"/>
        <w:widowControl w:val="0"/>
        <w:shd w:val="clear" w:color="auto" w:fill="auto"/>
        <w:bidi w:val="0"/>
        <w:spacing w:before="0" w:after="0" w:line="209" w:lineRule="exact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:表</w:t>
      </w:r>
      <w:r>
        <w:rPr>
          <w:color w:val="8D3C39"/>
          <w:spacing w:val="0"/>
          <w:w w:val="100"/>
          <w:position w:val="0"/>
          <w:sz w:val="20"/>
          <w:szCs w:val="20"/>
          <w:lang w:val="en-US" w:eastAsia="en-US" w:bidi="en-US"/>
        </w:rPr>
        <w:t>a</w:t>
      </w:r>
      <w:r>
        <w:rPr>
          <w:color w:val="8D3C39"/>
          <w:spacing w:val="0"/>
          <w:w w:val="100"/>
          <w:position w:val="0"/>
          <w:sz w:val="20"/>
          <w:szCs w:val="20"/>
        </w:rPr>
        <w:t>出应杵</w:t>
      </w:r>
      <w:r>
        <w:rPr>
          <w:color w:val="000000"/>
          <w:spacing w:val="0"/>
          <w:w w:val="100"/>
          <w:position w:val="0"/>
          <w:sz w:val="19"/>
          <w:szCs w:val="19"/>
        </w:rPr>
        <w:t xml:space="preserve">报告；验证企业资本，出具 </w:t>
      </w:r>
      <w:r>
        <w:rPr>
          <w:color w:val="8D3C39"/>
          <w:spacing w:val="0"/>
          <w:w w:val="100"/>
          <w:position w:val="0"/>
          <w:sz w:val="20"/>
          <w:szCs w:val="20"/>
        </w:rPr>
        <w:t>塗蝠石</w:t>
      </w:r>
      <w:r>
        <w:rPr>
          <w:color w:val="000000"/>
          <w:spacing w:val="0"/>
          <w:w w:val="100"/>
          <w:position w:val="0"/>
          <w:sz w:val="19"/>
          <w:szCs w:val="19"/>
        </w:rPr>
        <w:t>分立、清算事宜中的审计业</w:t>
      </w:r>
    </w:p>
    <w:p>
      <w:pPr>
        <w:pStyle w:val="Style8"/>
        <w:keepNext w:val="0"/>
        <w:keepLines w:val="0"/>
        <w:framePr w:w="2606" w:h="281" w:wrap="none" w:hAnchor="page" w:x="1903" w:y="22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统一社会信用代码</w:t>
      </w:r>
    </w:p>
    <w:p>
      <w:pPr>
        <w:pStyle w:val="Style4"/>
        <w:keepNext w:val="0"/>
        <w:keepLines w:val="0"/>
        <w:framePr w:w="2261" w:h="252" w:wrap="none" w:hAnchor="page" w:x="1903" w:y="26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91U0108590676050Q</w:t>
      </w:r>
    </w:p>
    <w:p>
      <w:pPr>
        <w:pStyle w:val="Style8"/>
        <w:keepNext w:val="0"/>
        <w:keepLines w:val="0"/>
        <w:framePr w:w="2376" w:h="367" w:wrap="none" w:hAnchor="page" w:x="3386" w:y="41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9"/>
          <w:szCs w:val="19"/>
        </w:rPr>
        <w:t>大华会务所</w:t>
      </w:r>
      <w:r>
        <w:rPr>
          <w:color w:val="E95A48"/>
          <w:spacing w:val="0"/>
          <w:w w:val="100"/>
          <w:position w:val="0"/>
          <w:sz w:val="19"/>
          <w:szCs w:val="19"/>
        </w:rPr>
        <w:t>▲（特</w:t>
      </w:r>
      <w:r>
        <w:rPr>
          <w:color w:val="8D3C39"/>
          <w:spacing w:val="0"/>
          <w:w w:val="100"/>
          <w:position w:val="0"/>
          <w:sz w:val="20"/>
          <w:szCs w:val="20"/>
        </w:rPr>
        <w:t>殊</w:t>
      </w:r>
    </w:p>
    <w:p>
      <w:pPr>
        <w:pStyle w:val="Style8"/>
        <w:keepNext w:val="0"/>
        <w:keepLines w:val="0"/>
        <w:framePr w:w="778" w:h="266" w:wrap="none" w:hAnchor="page" w:x="3379" w:y="46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8D3C39"/>
          <w:spacing w:val="0"/>
          <w:w w:val="100"/>
          <w:position w:val="0"/>
          <w:sz w:val="20"/>
          <w:szCs w:val="20"/>
        </w:rPr>
        <w:t>特殊響</w:t>
      </w:r>
    </w:p>
    <w:p>
      <w:pPr>
        <w:pStyle w:val="Style12"/>
        <w:keepNext w:val="0"/>
        <w:keepLines w:val="0"/>
        <w:framePr w:w="1512" w:h="331" w:wrap="none" w:hAnchor="page" w:x="1737" w:y="55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经营范围</w:t>
      </w:r>
    </w:p>
    <w:p>
      <w:pPr>
        <w:pStyle w:val="Style8"/>
        <w:keepNext w:val="0"/>
        <w:keepLines w:val="0"/>
        <w:framePr w:w="5054" w:h="1843" w:wrap="none" w:hAnchor="page" w:x="3386" w:y="5552"/>
        <w:widowControl w:val="0"/>
        <w:shd w:val="clear" w:color="auto" w:fill="auto"/>
        <w:bidi w:val="0"/>
        <w:spacing w:before="0" w:after="0" w:line="22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审查</w:t>
      </w:r>
      <w:r>
        <w:rPr>
          <w:color w:val="E95A48"/>
          <w:spacing w:val="0"/>
          <w:w w:val="100"/>
          <w:position w:val="0"/>
        </w:rPr>
        <w:t xml:space="preserve">企业春 </w:t>
      </w:r>
      <w:r>
        <w:rPr>
          <w:color w:val="000000"/>
          <w:spacing w:val="0"/>
          <w:w w:val="100"/>
          <w:position w:val="0"/>
        </w:rPr>
        <w:t>验资报告：办： 务，出具有关报告；基本建设年度财务决算审计；代理记 帐；会计咨询、税务咨询、管理咨询、会计培训；法律、 法规规定的其他业务；无（市场主体依法自主选择经营项 目，开展经营活动；依法须经批准的项目，经相关部门批 准后依批准的内容开展经营活动；</w:t>
      </w:r>
      <w:r>
        <w:rPr>
          <w:color w:val="E95A48"/>
          <w:spacing w:val="0"/>
          <w:w w:val="100"/>
          <w:position w:val="0"/>
          <w:u w:val="single"/>
        </w:rPr>
        <w:t>否</w:t>
      </w:r>
      <w:r>
        <w:rPr>
          <w:color w:val="8D3C39"/>
          <w:spacing w:val="0"/>
          <w:w w:val="100"/>
          <w:position w:val="0"/>
          <w:u w:val="single"/>
        </w:rPr>
        <w:t>得从事</w:t>
      </w:r>
      <w:r>
        <w:rPr>
          <w:color w:val="000000"/>
          <w:spacing w:val="0"/>
          <w:w w:val="100"/>
          <w:position w:val="0"/>
          <w:u w:val="single"/>
        </w:rPr>
        <w:t xml:space="preserve">国家和本市产 </w:t>
      </w:r>
      <w:r>
        <w:rPr>
          <w:color w:val="000000"/>
          <w:spacing w:val="0"/>
          <w:w w:val="100"/>
          <w:position w:val="0"/>
        </w:rPr>
        <w:t>业政策禁止和限制类项目的经营活去</w:t>
      </w:r>
      <w:r>
        <w:rPr>
          <w:color w:val="000000"/>
          <w:spacing w:val="0"/>
          <w:w w:val="100"/>
          <w:position w:val="0"/>
          <w:lang w:val="en-US" w:eastAsia="en-US" w:bidi="en-US"/>
        </w:rPr>
        <w:t>'</w:t>
      </w:r>
    </w:p>
    <w:p>
      <w:pPr>
        <w:pStyle w:val="Style4"/>
        <w:keepNext w:val="0"/>
        <w:keepLines w:val="0"/>
        <w:framePr w:w="3391" w:h="1433" w:wrap="none" w:hAnchor="page" w:x="6576" w:y="7115"/>
        <w:widowControl w:val="0"/>
        <w:shd w:val="clear" w:color="auto" w:fill="auto"/>
        <w:bidi w:val="0"/>
        <w:spacing w:before="0" w:after="0" w:line="706" w:lineRule="exact"/>
        <w:ind w:left="0" w:right="0" w:firstLine="0"/>
        <w:jc w:val="left"/>
        <w:rPr>
          <w:sz w:val="48"/>
          <w:szCs w:val="48"/>
        </w:rPr>
      </w:pPr>
      <w:r>
        <w:rPr>
          <w:color w:val="E95A48"/>
          <w:spacing w:val="0"/>
          <w:w w:val="100"/>
          <w:position w:val="0"/>
          <w:sz w:val="48"/>
          <w:szCs w:val="48"/>
        </w:rPr>
        <w:t>此件仅用于业务报 告专用，复印无亂</w:t>
      </w:r>
    </w:p>
    <w:p>
      <w:pPr>
        <w:pStyle w:val="Style18"/>
        <w:keepNext w:val="0"/>
        <w:keepLines w:val="0"/>
        <w:framePr w:w="245" w:h="317" w:wrap="none" w:hAnchor="page" w:x="14741" w:y="89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日</w:t>
      </w:r>
    </w:p>
    <w:p>
      <w:pPr>
        <w:pStyle w:val="Style8"/>
        <w:keepNext w:val="0"/>
        <w:keepLines w:val="0"/>
        <w:framePr w:w="2376" w:h="302" w:wrap="none" w:hAnchor="page" w:x="13502" w:y="101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国家市场监督管理总局监制</w:t>
      </w:r>
    </w:p>
    <w:p>
      <w:pPr>
        <w:widowControl w:val="0"/>
        <w:spacing w:line="360" w:lineRule="exact"/>
      </w:pPr>
      <w:r>
        <w:drawing>
          <wp:anchor distT="0" distB="338455" distL="31750" distR="0" simplePos="0" relativeHeight="62914694" behindDoc="1" locked="0" layoutInCell="1" allowOverlap="1">
            <wp:simplePos x="0" y="0"/>
            <wp:positionH relativeFrom="page">
              <wp:posOffset>512445</wp:posOffset>
            </wp:positionH>
            <wp:positionV relativeFrom="margin">
              <wp:posOffset>0</wp:posOffset>
            </wp:positionV>
            <wp:extent cx="9643745" cy="6419215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9643745" cy="6419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8034020</wp:posOffset>
            </wp:positionH>
            <wp:positionV relativeFrom="margin">
              <wp:posOffset>4091940</wp:posOffset>
            </wp:positionV>
            <wp:extent cx="2066290" cy="2060575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2066290" cy="20605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831" w:right="847" w:bottom="227" w:left="757" w:header="403" w:footer="3" w:gutter="0"/>
          <w:cols w:space="720"/>
          <w:noEndnote/>
          <w:rtlGutter w:val="0"/>
          <w:docGrid w:linePitch="360"/>
        </w:sectPr>
      </w:pPr>
    </w:p>
    <w:p>
      <w:pPr>
        <w:pStyle w:val="Style50"/>
        <w:keepNext/>
        <w:keepLines/>
        <w:framePr w:w="3233" w:h="432" w:wrap="none" w:hAnchor="page" w:x="2559" w:y="27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9" w:name="bookmark19"/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</w:rPr>
        <w:t>会计师事务所</w:t>
      </w:r>
      <w:bookmarkEnd w:id="19"/>
      <w:bookmarkEnd w:id="20"/>
      <w:bookmarkEnd w:id="21"/>
    </w:p>
    <w:p>
      <w:pPr>
        <w:pStyle w:val="Style4"/>
        <w:keepNext w:val="0"/>
        <w:keepLines w:val="0"/>
        <w:framePr w:w="1966" w:h="986" w:wrap="none" w:hAnchor="page" w:x="2537" w:y="32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84"/>
          <w:szCs w:val="84"/>
        </w:rPr>
      </w:pPr>
      <w:r>
        <w:rPr>
          <w:color w:val="000000"/>
          <w:spacing w:val="0"/>
          <w:w w:val="100"/>
          <w:position w:val="0"/>
          <w:sz w:val="72"/>
          <w:szCs w:val="72"/>
        </w:rPr>
        <w:t>执业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84"/>
          <w:szCs w:val="84"/>
          <w:lang w:val="en-US" w:eastAsia="en-US" w:bidi="en-US"/>
        </w:rPr>
        <w:t>i</w:t>
      </w:r>
    </w:p>
    <w:p>
      <w:pPr>
        <w:pStyle w:val="Style18"/>
        <w:keepNext w:val="0"/>
        <w:keepLines w:val="0"/>
        <w:framePr w:w="2506" w:h="403" w:wrap="none" w:hAnchor="page" w:x="1227" w:y="54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首席合伙人：梁春</w:t>
      </w:r>
    </w:p>
    <w:p>
      <w:pPr>
        <w:pStyle w:val="Style18"/>
        <w:keepNext w:val="0"/>
        <w:keepLines w:val="0"/>
        <w:framePr w:w="1814" w:h="317" w:wrap="none" w:hAnchor="page" w:x="1234" w:y="60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主任会计师:</w:t>
      </w:r>
    </w:p>
    <w:p>
      <w:pPr>
        <w:pStyle w:val="Style18"/>
        <w:keepNext w:val="0"/>
        <w:keepLines w:val="0"/>
        <w:framePr w:w="886" w:h="504" w:wrap="none" w:hAnchor="page" w:x="2595" w:y="44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称：大</w:t>
      </w:r>
    </w:p>
    <w:p>
      <w:pPr>
        <w:pStyle w:val="Style12"/>
        <w:keepNext w:val="0"/>
        <w:keepLines w:val="0"/>
        <w:framePr w:w="1274" w:h="338" w:wrap="none" w:hAnchor="page" w:x="6065" w:y="44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普通合伙）</w:t>
      </w:r>
    </w:p>
    <w:p>
      <w:pPr>
        <w:pStyle w:val="Style12"/>
        <w:keepNext w:val="0"/>
        <w:keepLines w:val="0"/>
        <w:framePr w:w="1814" w:h="324" w:wrap="none" w:hAnchor="page" w:x="1234" w:y="65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经营场所:</w:t>
      </w:r>
    </w:p>
    <w:p>
      <w:pPr>
        <w:pStyle w:val="Style12"/>
        <w:keepNext w:val="0"/>
        <w:keepLines w:val="0"/>
        <w:framePr w:w="5011" w:h="353" w:wrap="none" w:hAnchor="page" w:x="3135" w:y="65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北京市海淀区西四环中路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16</w:t>
      </w:r>
      <w:r>
        <w:rPr>
          <w:color w:val="000000"/>
          <w:spacing w:val="0"/>
          <w:w w:val="100"/>
          <w:position w:val="0"/>
          <w:sz w:val="26"/>
          <w:szCs w:val="26"/>
        </w:rPr>
        <w:t>号院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7</w:t>
      </w:r>
      <w:r>
        <w:rPr>
          <w:color w:val="000000"/>
          <w:spacing w:val="0"/>
          <w:w w:val="100"/>
          <w:position w:val="0"/>
          <w:sz w:val="26"/>
          <w:szCs w:val="26"/>
        </w:rPr>
        <w:t>号楼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12</w:t>
      </w:r>
      <w:r>
        <w:rPr>
          <w:color w:val="000000"/>
          <w:spacing w:val="0"/>
          <w:w w:val="100"/>
          <w:position w:val="0"/>
          <w:sz w:val="26"/>
          <w:szCs w:val="26"/>
        </w:rPr>
        <w:t>层</w:t>
      </w:r>
    </w:p>
    <w:p>
      <w:pPr>
        <w:pStyle w:val="Style12"/>
        <w:keepNext w:val="0"/>
        <w:keepLines w:val="0"/>
        <w:framePr w:w="1814" w:h="324" w:wrap="none" w:hAnchor="page" w:x="1241" w:y="81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组织形式:</w:t>
      </w:r>
    </w:p>
    <w:p>
      <w:pPr>
        <w:pStyle w:val="Style12"/>
        <w:keepNext w:val="0"/>
        <w:keepLines w:val="0"/>
        <w:framePr w:w="1656" w:h="338" w:wrap="none" w:hAnchor="page" w:x="3120" w:y="79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特殊普通合伙</w:t>
      </w:r>
    </w:p>
    <w:p>
      <w:pPr>
        <w:pStyle w:val="Style12"/>
        <w:keepNext w:val="0"/>
        <w:keepLines w:val="0"/>
        <w:framePr w:w="1800" w:h="331" w:wrap="none" w:hAnchor="page" w:x="1256" w:y="86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执业证书编号:</w:t>
      </w:r>
    </w:p>
    <w:p>
      <w:pPr>
        <w:pStyle w:val="Style4"/>
        <w:keepNext w:val="0"/>
        <w:keepLines w:val="0"/>
        <w:framePr w:w="1094" w:h="324" w:wrap="none" w:hAnchor="page" w:x="3135" w:y="85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11010148</w:t>
      </w:r>
    </w:p>
    <w:p>
      <w:pPr>
        <w:pStyle w:val="Style12"/>
        <w:keepNext w:val="0"/>
        <w:keepLines w:val="0"/>
        <w:framePr w:w="4867" w:h="936" w:wrap="none" w:hAnchor="page" w:x="1248" w:y="9217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批准执业文号：京财会许可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lang w:val="en-US" w:eastAsia="en-US" w:bidi="en-US"/>
        </w:rPr>
        <w:t>［201110101</w:t>
      </w:r>
      <w:r>
        <w:rPr>
          <w:color w:val="000000"/>
          <w:spacing w:val="0"/>
          <w:w w:val="100"/>
          <w:position w:val="0"/>
          <w:sz w:val="26"/>
          <w:szCs w:val="26"/>
        </w:rPr>
        <w:t>号</w:t>
      </w:r>
    </w:p>
    <w:p>
      <w:pPr>
        <w:pStyle w:val="Style12"/>
        <w:keepNext w:val="0"/>
        <w:keepLines w:val="0"/>
        <w:framePr w:w="4867" w:h="936" w:wrap="none" w:hAnchor="page" w:x="1248" w:y="92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批准执业日期：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2011</w:t>
      </w:r>
      <w:r>
        <w:rPr>
          <w:color w:val="000000"/>
          <w:spacing w:val="0"/>
          <w:w w:val="100"/>
          <w:position w:val="0"/>
          <w:sz w:val="26"/>
          <w:szCs w:val="26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11</w:t>
      </w:r>
      <w:r>
        <w:rPr>
          <w:color w:val="000000"/>
          <w:spacing w:val="0"/>
          <w:w w:val="100"/>
          <w:position w:val="0"/>
          <w:sz w:val="26"/>
          <w:szCs w:val="26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03</w:t>
      </w:r>
      <w:r>
        <w:rPr>
          <w:color w:val="000000"/>
          <w:spacing w:val="0"/>
          <w:w w:val="100"/>
          <w:position w:val="0"/>
          <w:sz w:val="26"/>
          <w:szCs w:val="26"/>
        </w:rPr>
        <w:t>日</w:t>
      </w:r>
    </w:p>
    <w:p>
      <w:pPr>
        <w:pStyle w:val="Style55"/>
        <w:keepNext/>
        <w:keepLines/>
        <w:framePr w:w="2635" w:h="454" w:wrap="none" w:hAnchor="page" w:x="1256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22" w:name="bookmark22"/>
      <w:bookmarkStart w:id="23" w:name="bookmark23"/>
      <w:bookmarkStart w:id="24" w:name="bookmark24"/>
      <w:r>
        <w:rPr>
          <w:rFonts w:ascii="SimSun" w:eastAsia="SimSun" w:hAnsi="SimSun" w:cs="SimSun"/>
          <w:color w:val="000000"/>
          <w:spacing w:val="0"/>
          <w:w w:val="100"/>
          <w:position w:val="0"/>
          <w:sz w:val="22"/>
          <w:szCs w:val="22"/>
        </w:rPr>
        <w:t>证书序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^0000093</w:t>
      </w:r>
      <w:bookmarkEnd w:id="22"/>
      <w:bookmarkEnd w:id="23"/>
      <w:bookmarkEnd w:id="24"/>
    </w:p>
    <w:p>
      <w:pPr>
        <w:pStyle w:val="Style50"/>
        <w:keepNext/>
        <w:keepLines/>
        <w:framePr w:w="5522" w:h="5155" w:wrap="none" w:hAnchor="page" w:x="9802" w:y="1081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center"/>
      </w:pPr>
      <w:bookmarkStart w:id="25" w:name="bookmark25"/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</w:rPr>
        <w:t>说明</w:t>
      </w:r>
      <w:bookmarkEnd w:id="25"/>
      <w:bookmarkEnd w:id="26"/>
      <w:bookmarkEnd w:id="27"/>
    </w:p>
    <w:p>
      <w:pPr>
        <w:pStyle w:val="Style12"/>
        <w:keepNext w:val="0"/>
        <w:keepLines w:val="0"/>
        <w:framePr w:w="5522" w:h="5155" w:wrap="none" w:hAnchor="page" w:x="9802" w:y="1081"/>
        <w:widowControl w:val="0"/>
        <w:shd w:val="clear" w:color="auto" w:fill="auto"/>
        <w:tabs>
          <w:tab w:pos="439" w:val="left"/>
        </w:tabs>
        <w:bidi w:val="0"/>
        <w:spacing w:before="0" w:after="0" w:line="470" w:lineRule="exact"/>
        <w:ind w:left="460" w:right="0" w:hanging="460"/>
        <w:jc w:val="both"/>
        <w:rPr>
          <w:sz w:val="22"/>
          <w:szCs w:val="22"/>
        </w:rPr>
      </w:pPr>
      <w:bookmarkStart w:id="28" w:name="bookmark2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1</w:t>
      </w:r>
      <w:bookmarkEnd w:id="28"/>
      <w:r>
        <w:rPr>
          <w:color w:val="000000"/>
          <w:spacing w:val="0"/>
          <w:w w:val="100"/>
          <w:position w:val="0"/>
          <w:sz w:val="22"/>
          <w:szCs w:val="22"/>
        </w:rPr>
        <w:t>、</w:t>
        <w:tab/>
        <w:t>《会计师事务所执业证书》是证明持有人经财政 部门依法审批，准予执行注册会计师法定业务的 凭证。</w:t>
      </w:r>
    </w:p>
    <w:p>
      <w:pPr>
        <w:pStyle w:val="Style12"/>
        <w:keepNext w:val="0"/>
        <w:keepLines w:val="0"/>
        <w:framePr w:w="5522" w:h="5155" w:wrap="none" w:hAnchor="page" w:x="9802" w:y="1081"/>
        <w:widowControl w:val="0"/>
        <w:shd w:val="clear" w:color="auto" w:fill="auto"/>
        <w:tabs>
          <w:tab w:pos="454" w:val="left"/>
        </w:tabs>
        <w:bidi w:val="0"/>
        <w:spacing w:before="0" w:after="0" w:line="470" w:lineRule="exact"/>
        <w:ind w:left="460" w:right="0" w:hanging="460"/>
        <w:jc w:val="both"/>
        <w:rPr>
          <w:sz w:val="22"/>
          <w:szCs w:val="22"/>
        </w:rPr>
      </w:pPr>
      <w:bookmarkStart w:id="29" w:name="bookmark2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2</w:t>
      </w:r>
      <w:bookmarkEnd w:id="29"/>
      <w:r>
        <w:rPr>
          <w:color w:val="000000"/>
          <w:spacing w:val="0"/>
          <w:w w:val="100"/>
          <w:position w:val="0"/>
          <w:sz w:val="22"/>
          <w:szCs w:val="22"/>
        </w:rPr>
        <w:t>、</w:t>
        <w:tab/>
        <w:t>《会计师事务所执业证书》记载事项发生变动的， 应当向财政部门申请换发。</w:t>
      </w:r>
    </w:p>
    <w:p>
      <w:pPr>
        <w:pStyle w:val="Style12"/>
        <w:keepNext w:val="0"/>
        <w:keepLines w:val="0"/>
        <w:framePr w:w="5522" w:h="5155" w:wrap="none" w:hAnchor="page" w:x="9802" w:y="1081"/>
        <w:widowControl w:val="0"/>
        <w:shd w:val="clear" w:color="auto" w:fill="auto"/>
        <w:tabs>
          <w:tab w:pos="461" w:val="left"/>
        </w:tabs>
        <w:bidi w:val="0"/>
        <w:spacing w:before="0" w:after="0" w:line="470" w:lineRule="exact"/>
        <w:ind w:left="460" w:right="0" w:hanging="460"/>
        <w:jc w:val="both"/>
        <w:rPr>
          <w:sz w:val="22"/>
          <w:szCs w:val="22"/>
        </w:rPr>
      </w:pPr>
      <w:bookmarkStart w:id="30" w:name="bookmark3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3</w:t>
      </w:r>
      <w:bookmarkEnd w:id="30"/>
      <w:r>
        <w:rPr>
          <w:color w:val="000000"/>
          <w:spacing w:val="0"/>
          <w:w w:val="100"/>
          <w:position w:val="0"/>
          <w:sz w:val="22"/>
          <w:szCs w:val="22"/>
        </w:rPr>
        <w:t>、</w:t>
        <w:tab/>
        <w:t>《会计师事务所执业证书》不得伪造、涂改、出 租、出借、转让。</w:t>
      </w:r>
    </w:p>
    <w:p>
      <w:pPr>
        <w:pStyle w:val="Style12"/>
        <w:keepNext w:val="0"/>
        <w:keepLines w:val="0"/>
        <w:framePr w:w="5522" w:h="5155" w:wrap="none" w:hAnchor="page" w:x="9802" w:y="1081"/>
        <w:widowControl w:val="0"/>
        <w:shd w:val="clear" w:color="auto" w:fill="auto"/>
        <w:tabs>
          <w:tab w:pos="475" w:val="left"/>
        </w:tabs>
        <w:bidi w:val="0"/>
        <w:spacing w:before="0" w:after="0" w:line="482" w:lineRule="exact"/>
        <w:ind w:left="460" w:right="0" w:hanging="460"/>
        <w:jc w:val="both"/>
        <w:rPr>
          <w:sz w:val="22"/>
          <w:szCs w:val="22"/>
        </w:rPr>
      </w:pPr>
      <w:bookmarkStart w:id="31" w:name="bookmark3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4</w:t>
      </w:r>
      <w:bookmarkEnd w:id="31"/>
      <w:r>
        <w:rPr>
          <w:color w:val="000000"/>
          <w:spacing w:val="0"/>
          <w:w w:val="100"/>
          <w:position w:val="0"/>
          <w:sz w:val="22"/>
          <w:szCs w:val="22"/>
        </w:rPr>
        <w:t>、</w:t>
        <w:tab/>
        <w:t>会计师事务所终止或执业许可注销的，应当向财 政部门交回《会计师事务所执业证书》。</w:t>
      </w:r>
    </w:p>
    <w:p>
      <w:pPr>
        <w:pStyle w:val="Style4"/>
        <w:keepNext w:val="0"/>
        <w:keepLines w:val="0"/>
        <w:framePr w:w="3406" w:h="1418" w:wrap="none" w:hAnchor="page" w:x="6576" w:y="7489"/>
        <w:widowControl w:val="0"/>
        <w:shd w:val="clear" w:color="auto" w:fill="auto"/>
        <w:bidi w:val="0"/>
        <w:spacing w:before="0" w:after="0" w:line="698" w:lineRule="exact"/>
        <w:ind w:left="0" w:right="0" w:firstLine="0"/>
        <w:jc w:val="center"/>
        <w:rPr>
          <w:sz w:val="48"/>
          <w:szCs w:val="48"/>
        </w:rPr>
      </w:pPr>
      <w:r>
        <w:rPr>
          <w:color w:val="F4978C"/>
          <w:spacing w:val="0"/>
          <w:w w:val="100"/>
          <w:position w:val="0"/>
          <w:sz w:val="48"/>
          <w:szCs w:val="48"/>
        </w:rPr>
        <w:t>此件觥于业务报</w:t>
        <w:br/>
        <w:t>告专用，复印无亂</w:t>
      </w:r>
    </w:p>
    <w:p>
      <w:pPr>
        <w:pStyle w:val="Style12"/>
        <w:keepNext w:val="0"/>
        <w:keepLines w:val="0"/>
        <w:framePr w:w="3089" w:h="338" w:wrap="none" w:hAnchor="page" w:x="12228" w:y="96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中华人民共和国财政部制</w:t>
      </w:r>
    </w:p>
    <w:p>
      <w:pPr>
        <w:widowControl w:val="0"/>
        <w:spacing w:line="360" w:lineRule="exact"/>
      </w:pPr>
      <w:r>
        <w:drawing>
          <wp:anchor distT="0" distB="22860" distL="1403350" distR="0" simplePos="0" relativeHeight="62914696" behindDoc="1" locked="0" layoutInCell="1" allowOverlap="1">
            <wp:simplePos x="0" y="0"/>
            <wp:positionH relativeFrom="page">
              <wp:posOffset>2181860</wp:posOffset>
            </wp:positionH>
            <wp:positionV relativeFrom="margin">
              <wp:posOffset>2121535</wp:posOffset>
            </wp:positionV>
            <wp:extent cx="1871345" cy="1877695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1871345" cy="18776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7261225</wp:posOffset>
            </wp:positionH>
            <wp:positionV relativeFrom="margin">
              <wp:posOffset>4100830</wp:posOffset>
            </wp:positionV>
            <wp:extent cx="2553970" cy="161544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ext cx="2553970" cy="16154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31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991" w:right="1387" w:bottom="557" w:left="1226" w:header="563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3880485</wp:posOffset>
              </wp:positionH>
              <wp:positionV relativeFrom="page">
                <wp:posOffset>9890125</wp:posOffset>
              </wp:positionV>
              <wp:extent cx="306070" cy="9588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6070" cy="958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</w:rPr>
                            <w:t>第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05.55000000000001pt;margin-top:778.75pt;width:24.100000000000001pt;height:7.5499999999999998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</w:rPr>
                      <w:t>第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</w:rPr>
                      <w:t>2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</w:rPr>
                      <w:t>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3816350</wp:posOffset>
              </wp:positionH>
              <wp:positionV relativeFrom="page">
                <wp:posOffset>9711690</wp:posOffset>
              </wp:positionV>
              <wp:extent cx="306070" cy="10033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6070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</w:rPr>
                            <w:t>第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</w:rPr>
                            <w:t>I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00.5pt;margin-top:764.70000000000005pt;width:24.100000000000001pt;height:7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</w:rPr>
                      <w:t>第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</w:rPr>
                      <w:t>I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</w:rPr>
                      <w:t>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Heading #3|1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CharStyle5">
    <w:name w:val="Other|1_"/>
    <w:basedOn w:val="DefaultParagraphFont"/>
    <w:link w:val="Style4"/>
    <w:rPr>
      <w:rFonts w:ascii="SimSun" w:eastAsia="SimSun" w:hAnsi="SimSun" w:cs="SimSun"/>
      <w:b w:val="0"/>
      <w:bCs w:val="0"/>
      <w:i w:val="0"/>
      <w:iCs w:val="0"/>
      <w:smallCaps w:val="0"/>
      <w:strike w:val="0"/>
      <w:u w:val="none"/>
      <w:shd w:val="clear" w:color="auto" w:fill="auto"/>
      <w:lang w:val="zh-TW" w:eastAsia="zh-TW" w:bidi="zh-TW"/>
    </w:rPr>
  </w:style>
  <w:style w:type="character" w:customStyle="1" w:styleId="CharStyle9">
    <w:name w:val="Body text|2_"/>
    <w:basedOn w:val="DefaultParagraphFont"/>
    <w:link w:val="Style8"/>
    <w:rPr>
      <w:rFonts w:ascii="SimSun" w:eastAsia="SimSun" w:hAnsi="SimSun" w:cs="SimSu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CharStyle13">
    <w:name w:val="Body text|1_"/>
    <w:basedOn w:val="DefaultParagraphFont"/>
    <w:link w:val="Style12"/>
    <w:rPr>
      <w:rFonts w:ascii="SimSun" w:eastAsia="SimSun" w:hAnsi="SimSun" w:cs="SimSun"/>
      <w:b w:val="0"/>
      <w:bCs w:val="0"/>
      <w:i w:val="0"/>
      <w:iCs w:val="0"/>
      <w:smallCaps w:val="0"/>
      <w:strike w:val="0"/>
      <w:u w:val="none"/>
      <w:shd w:val="clear" w:color="auto" w:fill="auto"/>
      <w:lang w:val="zh-TW" w:eastAsia="zh-TW" w:bidi="zh-TW"/>
    </w:rPr>
  </w:style>
  <w:style w:type="character" w:customStyle="1" w:styleId="CharStyle19">
    <w:name w:val="Picture caption|1_"/>
    <w:basedOn w:val="DefaultParagraphFont"/>
    <w:link w:val="Style18"/>
    <w:rPr>
      <w:rFonts w:ascii="SimSun" w:eastAsia="SimSun" w:hAnsi="SimSun" w:cs="SimSu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CharStyle27">
    <w:name w:val="Header or footer|2_"/>
    <w:basedOn w:val="DefaultParagraphFont"/>
    <w:link w:val="Style26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CharStyle35">
    <w:name w:val="Table caption|1_"/>
    <w:basedOn w:val="DefaultParagraphFont"/>
    <w:link w:val="Style34"/>
    <w:rPr>
      <w:rFonts w:ascii="SimSun" w:eastAsia="SimSun" w:hAnsi="SimSun" w:cs="SimSun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  <w:lang w:val="zh-TW" w:eastAsia="zh-TW" w:bidi="zh-TW"/>
    </w:rPr>
  </w:style>
  <w:style w:type="character" w:customStyle="1" w:styleId="CharStyle51">
    <w:name w:val="Heading #2|1_"/>
    <w:basedOn w:val="DefaultParagraphFont"/>
    <w:link w:val="Style50"/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CharStyle56">
    <w:name w:val="Heading #1|1_"/>
    <w:basedOn w:val="DefaultParagraphFont"/>
    <w:link w:val="Style55"/>
    <w:rPr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Style2">
    <w:name w:val="Heading #3|1"/>
    <w:basedOn w:val="Normal"/>
    <w:link w:val="CharStyle3"/>
    <w:pPr>
      <w:widowControl w:val="0"/>
      <w:shd w:val="clear" w:color="auto" w:fill="auto"/>
      <w:spacing w:after="240"/>
      <w:jc w:val="center"/>
      <w:outlineLvl w:val="2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Style4">
    <w:name w:val="Other|1"/>
    <w:basedOn w:val="Normal"/>
    <w:link w:val="CharStyle5"/>
    <w:pPr>
      <w:widowControl w:val="0"/>
      <w:shd w:val="clear" w:color="auto" w:fill="auto"/>
      <w:spacing w:line="432" w:lineRule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u w:val="none"/>
      <w:shd w:val="clear" w:color="auto" w:fill="auto"/>
      <w:lang w:val="zh-TW" w:eastAsia="zh-TW" w:bidi="zh-TW"/>
    </w:rPr>
  </w:style>
  <w:style w:type="paragraph" w:customStyle="1" w:styleId="Style8">
    <w:name w:val="Body text|2"/>
    <w:basedOn w:val="Normal"/>
    <w:link w:val="CharStyle9"/>
    <w:pPr>
      <w:widowControl w:val="0"/>
      <w:shd w:val="clear" w:color="auto" w:fill="auto"/>
      <w:spacing w:line="227" w:lineRule="exact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Style12">
    <w:name w:val="Body text|1"/>
    <w:basedOn w:val="Normal"/>
    <w:link w:val="CharStyle13"/>
    <w:pPr>
      <w:widowControl w:val="0"/>
      <w:shd w:val="clear" w:color="auto" w:fill="auto"/>
      <w:spacing w:line="432" w:lineRule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u w:val="none"/>
      <w:shd w:val="clear" w:color="auto" w:fill="auto"/>
      <w:lang w:val="zh-TW" w:eastAsia="zh-TW" w:bidi="zh-TW"/>
    </w:rPr>
  </w:style>
  <w:style w:type="paragraph" w:customStyle="1" w:styleId="Style18">
    <w:name w:val="Picture caption|1"/>
    <w:basedOn w:val="Normal"/>
    <w:link w:val="CharStyle19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Style26">
    <w:name w:val="Header or footer|2"/>
    <w:basedOn w:val="Normal"/>
    <w:link w:val="CharStyle27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34">
    <w:name w:val="Table caption|1"/>
    <w:basedOn w:val="Normal"/>
    <w:link w:val="CharStyle35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  <w:lang w:val="zh-TW" w:eastAsia="zh-TW" w:bidi="zh-TW"/>
    </w:rPr>
  </w:style>
  <w:style w:type="paragraph" w:customStyle="1" w:styleId="Style50">
    <w:name w:val="Heading #2|1"/>
    <w:basedOn w:val="Normal"/>
    <w:link w:val="CharStyle51"/>
    <w:pPr>
      <w:widowControl w:val="0"/>
      <w:shd w:val="clear" w:color="auto" w:fill="auto"/>
      <w:spacing w:after="280"/>
      <w:outlineLvl w:val="1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Style55">
    <w:name w:val="Heading #1|1"/>
    <w:basedOn w:val="Normal"/>
    <w:link w:val="CharStyle56"/>
    <w:pPr>
      <w:widowControl w:val="0"/>
      <w:shd w:val="clear" w:color="auto" w:fill="auto"/>
      <w:jc w:val="right"/>
      <w:outlineLvl w:val="0"/>
    </w:pPr>
    <w:rPr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footer" Target="footer3.xml"/><Relationship Id="rId14" Type="http://schemas.openxmlformats.org/officeDocument/2006/relationships/image" Target="media/image4.jpeg"/><Relationship Id="rId15" Type="http://schemas.openxmlformats.org/officeDocument/2006/relationships/image" Target="media/image4.jpeg" TargetMode="External"/><Relationship Id="rId16" Type="http://schemas.openxmlformats.org/officeDocument/2006/relationships/image" Target="media/image5.jpeg"/><Relationship Id="rId17" Type="http://schemas.openxmlformats.org/officeDocument/2006/relationships/image" Target="media/image5.jpeg" TargetMode="External"/><Relationship Id="rId18" Type="http://schemas.openxmlformats.org/officeDocument/2006/relationships/image" Target="media/image6.jpeg"/><Relationship Id="rId19" Type="http://schemas.openxmlformats.org/officeDocument/2006/relationships/image" Target="media/image6.jpeg" TargetMode="External"/><Relationship Id="rId20" Type="http://schemas.openxmlformats.org/officeDocument/2006/relationships/image" Target="media/image7.jpeg"/><Relationship Id="rId21" Type="http://schemas.openxmlformats.org/officeDocument/2006/relationships/image" Target="media/image7.jpeg" TargetMode="External"/></Relationships>
</file>