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3 -->
  <w:body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  <w:bookmarkStart w:id="0" w:name="br1"/>
      <w:bookmarkEnd w:id="0"/>
      <w:r>
        <w:rPr>
          <w:rFonts w:ascii="Arial" w:hAnsi="Calibr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2160" w:x="1800" w:y="1527"/>
        <w:widowControl w:val="0"/>
        <w:autoSpaceDE w:val="0"/>
        <w:autoSpaceDN w:val="0"/>
        <w:spacing w:line="266" w:lineRule="exact"/>
        <w:rPr>
          <w:rFonts w:hAnsi="Calibri"/>
          <w:b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1"/>
          <w:szCs w:val="22"/>
          <w:lang w:val="en-US" w:eastAsia="en-US" w:bidi="ar-SA"/>
        </w:rPr>
        <w:t>证券代码：</w:t>
      </w:r>
      <w:r>
        <w:rPr>
          <w:rFonts w:hAnsi="Calibri"/>
          <w:b/>
          <w:color w:val="000000"/>
          <w:szCs w:val="22"/>
          <w:lang w:val="en-US" w:eastAsia="en-US" w:bidi="ar-SA"/>
        </w:rPr>
        <w:t>603086</w:t>
      </w:r>
    </w:p>
    <w:p>
      <w:pPr>
        <w:framePr w:w="2400" w:x="4887" w:y="1535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3"/>
          <w:szCs w:val="22"/>
          <w:lang w:val="en-US" w:eastAsia="en-US" w:bidi="ar-SA"/>
        </w:rPr>
        <w:t>证券简称：先达股份</w:t>
      </w:r>
    </w:p>
    <w:p>
      <w:pPr>
        <w:framePr w:w="2400" w:x="7981" w:y="1527"/>
        <w:widowControl w:val="0"/>
        <w:autoSpaceDE w:val="0"/>
        <w:autoSpaceDN w:val="0"/>
        <w:spacing w:line="266" w:lineRule="exact"/>
        <w:rPr>
          <w:rFonts w:hAnsi="Calibri"/>
          <w:b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1"/>
          <w:szCs w:val="22"/>
          <w:lang w:val="en-US" w:eastAsia="en-US" w:bidi="ar-SA"/>
        </w:rPr>
        <w:t>公告编号：</w:t>
      </w:r>
      <w:r>
        <w:rPr>
          <w:rFonts w:hAnsi="Calibri"/>
          <w:b/>
          <w:color w:val="000000"/>
          <w:szCs w:val="22"/>
          <w:lang w:val="en-US" w:eastAsia="en-US" w:bidi="ar-SA"/>
        </w:rPr>
        <w:t>2021</w:t>
      </w:r>
      <w:r>
        <w:rPr>
          <w:rFonts w:ascii="SimSun" w:hAnsi="Calibri"/>
          <w:color w:val="000000"/>
          <w:spacing w:val="2"/>
          <w:szCs w:val="22"/>
          <w:lang w:val="en-US" w:eastAsia="en-US" w:bidi="ar-SA"/>
        </w:rPr>
        <w:t>-</w:t>
      </w:r>
      <w:r>
        <w:rPr>
          <w:rFonts w:hAnsi="Calibri"/>
          <w:b/>
          <w:color w:val="000000"/>
          <w:szCs w:val="22"/>
          <w:lang w:val="en-US" w:eastAsia="en-US" w:bidi="ar-SA"/>
        </w:rPr>
        <w:t>020</w:t>
      </w:r>
    </w:p>
    <w:p>
      <w:pPr>
        <w:framePr w:w="4093" w:x="4026" w:y="2172"/>
        <w:widowControl w:val="0"/>
        <w:autoSpaceDE w:val="0"/>
        <w:autoSpaceDN w:val="0"/>
        <w:spacing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imSun" w:hAnsi="SimSun" w:cs="SimSun"/>
          <w:color w:val="FF0000"/>
          <w:spacing w:val="1"/>
          <w:sz w:val="32"/>
          <w:szCs w:val="22"/>
          <w:lang w:val="en-US" w:eastAsia="en-US" w:bidi="ar-SA"/>
        </w:rPr>
        <w:t>山东先达农化股份有限公司</w:t>
      </w:r>
    </w:p>
    <w:p>
      <w:pPr>
        <w:framePr w:w="4093" w:x="4026" w:y="2172"/>
        <w:widowControl w:val="0"/>
        <w:autoSpaceDE w:val="0"/>
        <w:autoSpaceDN w:val="0"/>
        <w:spacing w:before="360" w:line="319" w:lineRule="exact"/>
        <w:ind w:left="161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imSun" w:hAnsi="SimSun" w:cs="SimSun"/>
          <w:color w:val="FF0000"/>
          <w:spacing w:val="1"/>
          <w:sz w:val="32"/>
          <w:szCs w:val="22"/>
          <w:lang w:val="en-US" w:eastAsia="en-US" w:bidi="ar-SA"/>
        </w:rPr>
        <w:t>关于修订公司章程的公告</w:t>
      </w:r>
    </w:p>
    <w:p>
      <w:pPr>
        <w:framePr w:w="8530" w:x="1908" w:y="3760"/>
        <w:widowControl w:val="0"/>
        <w:autoSpaceDE w:val="0"/>
        <w:autoSpaceDN w:val="0"/>
        <w:spacing w:line="240" w:lineRule="exact"/>
        <w:ind w:left="480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3"/>
          <w:szCs w:val="22"/>
          <w:lang w:val="en-US" w:eastAsia="en-US" w:bidi="ar-SA"/>
        </w:rPr>
        <w:t>本公司董事会及全体董事保证本公告内容不存在任何虚假记载、误导性陈述</w:t>
      </w:r>
    </w:p>
    <w:p>
      <w:pPr>
        <w:framePr w:w="8530" w:x="1908" w:y="3760"/>
        <w:widowControl w:val="0"/>
        <w:autoSpaceDE w:val="0"/>
        <w:autoSpaceDN w:val="0"/>
        <w:spacing w:before="228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或者重大遗漏，并对其内容的真实性、准确性和完整性承担个别及连带责任。</w:t>
      </w:r>
    </w:p>
    <w:p>
      <w:pPr>
        <w:framePr w:w="8640" w:x="1800" w:y="5020"/>
        <w:widowControl w:val="0"/>
        <w:autoSpaceDE w:val="0"/>
        <w:autoSpaceDN w:val="0"/>
        <w:spacing w:line="240" w:lineRule="exact"/>
        <w:ind w:left="480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4"/>
          <w:szCs w:val="22"/>
          <w:lang w:val="en-US" w:eastAsia="en-US" w:bidi="ar-SA"/>
        </w:rPr>
        <w:t>山东先达农化股份有限公司（以下简称“公司”）于</w:t>
      </w:r>
      <w:r>
        <w:rPr>
          <w:rFonts w:hAnsi="Calibri"/>
          <w:color w:val="000000"/>
          <w:spacing w:val="4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Cs w:val="22"/>
          <w:lang w:val="en-US" w:eastAsia="en-US" w:bidi="ar-SA"/>
        </w:rPr>
        <w:t>2021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年</w:t>
      </w:r>
      <w:r>
        <w:rPr>
          <w:rFonts w:hAnsi="Calibri"/>
          <w:color w:val="000000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pacing w:val="60"/>
          <w:szCs w:val="22"/>
          <w:lang w:val="en-US" w:eastAsia="en-US" w:bidi="ar-SA"/>
        </w:rPr>
        <w:t>4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月</w:t>
      </w:r>
      <w:r>
        <w:rPr>
          <w:rFonts w:hAnsi="Calibri"/>
          <w:color w:val="000000"/>
          <w:spacing w:val="1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Cs w:val="22"/>
          <w:lang w:val="en-US" w:eastAsia="en-US" w:bidi="ar-SA"/>
        </w:rPr>
        <w:t>26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日召开</w:t>
      </w:r>
    </w:p>
    <w:p>
      <w:pPr>
        <w:framePr w:w="8640" w:x="1800" w:y="5020"/>
        <w:widowControl w:val="0"/>
        <w:autoSpaceDE w:val="0"/>
        <w:autoSpaceDN w:val="0"/>
        <w:spacing w:before="229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第四届董事会第二次会议，审议通过了《关于</w:t>
      </w:r>
      <w:r>
        <w:rPr>
          <w:rFonts w:hAnsi="Calibri"/>
          <w:color w:val="000000"/>
          <w:spacing w:val="12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Cs w:val="22"/>
          <w:lang w:val="en-US" w:eastAsia="en-US" w:bidi="ar-SA"/>
        </w:rPr>
        <w:t>2020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年度利润分配及资本公积金</w:t>
      </w:r>
    </w:p>
    <w:p>
      <w:pPr>
        <w:framePr w:w="8640" w:x="1800" w:y="5020"/>
        <w:widowControl w:val="0"/>
        <w:autoSpaceDE w:val="0"/>
        <w:autoSpaceDN w:val="0"/>
        <w:spacing w:before="228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3"/>
          <w:szCs w:val="22"/>
          <w:lang w:val="en-US" w:eastAsia="en-US" w:bidi="ar-SA"/>
        </w:rPr>
        <w:t>转增股本预案的议案》，同意公司拟以实施权益分派股权登记日登记的总股本为</w:t>
      </w:r>
    </w:p>
    <w:p>
      <w:pPr>
        <w:framePr w:w="8640" w:x="1800" w:y="5020"/>
        <w:widowControl w:val="0"/>
        <w:autoSpaceDE w:val="0"/>
        <w:autoSpaceDN w:val="0"/>
        <w:spacing w:before="228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基数，向全体股东每</w:t>
      </w:r>
      <w:r>
        <w:rPr>
          <w:rFonts w:hAnsi="Calibri"/>
          <w:color w:val="000000"/>
          <w:spacing w:val="37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Cs w:val="22"/>
          <w:lang w:val="en-US" w:eastAsia="en-US" w:bidi="ar-SA"/>
        </w:rPr>
        <w:t>10</w:t>
      </w:r>
      <w:r>
        <w:rPr>
          <w:rFonts w:ascii="SimSun" w:hAnsi="Calibri"/>
          <w:color w:val="000000"/>
          <w:spacing w:val="-24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股派发现金红利</w:t>
      </w:r>
      <w:r>
        <w:rPr>
          <w:rFonts w:hAnsi="Calibri"/>
          <w:color w:val="000000"/>
          <w:spacing w:val="36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Cs w:val="22"/>
          <w:lang w:val="en-US" w:eastAsia="en-US" w:bidi="ar-SA"/>
        </w:rPr>
        <w:t>3.50</w:t>
      </w:r>
      <w:r>
        <w:rPr>
          <w:rFonts w:ascii="SimSun" w:hAnsi="Calibri"/>
          <w:color w:val="000000"/>
          <w:spacing w:val="-24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元（含税），共计派发现金红利</w:t>
      </w:r>
    </w:p>
    <w:p>
      <w:pPr>
        <w:framePr w:w="8640" w:x="1800" w:y="5020"/>
        <w:widowControl w:val="0"/>
        <w:autoSpaceDE w:val="0"/>
        <w:autoSpaceDN w:val="0"/>
        <w:spacing w:before="228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Calibri"/>
          <w:color w:val="000000"/>
          <w:szCs w:val="22"/>
          <w:lang w:val="en-US" w:eastAsia="en-US" w:bidi="ar-SA"/>
        </w:rPr>
        <w:t>5,547.15</w:t>
      </w:r>
      <w:r>
        <w:rPr>
          <w:rFonts w:ascii="SimSun" w:hAnsi="SimSun" w:cs="SimSun"/>
          <w:color w:val="000000"/>
          <w:spacing w:val="-2"/>
          <w:szCs w:val="22"/>
          <w:lang w:val="en-US" w:eastAsia="en-US" w:bidi="ar-SA"/>
        </w:rPr>
        <w:t>万元（含税），同时向全体股东每</w:t>
      </w:r>
      <w:r>
        <w:rPr>
          <w:rFonts w:hAnsi="Calibri"/>
          <w:color w:val="000000"/>
          <w:spacing w:val="2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pacing w:val="1"/>
          <w:szCs w:val="22"/>
          <w:lang w:val="en-US" w:eastAsia="en-US" w:bidi="ar-SA"/>
        </w:rPr>
        <w:t>10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股以资本公积金转增</w:t>
      </w:r>
      <w:r>
        <w:rPr>
          <w:rFonts w:hAnsi="Calibri"/>
          <w:color w:val="000000"/>
          <w:spacing w:val="1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pacing w:val="60"/>
          <w:szCs w:val="22"/>
          <w:lang w:val="en-US" w:eastAsia="en-US" w:bidi="ar-SA"/>
        </w:rPr>
        <w:t>4</w:t>
      </w:r>
      <w:r>
        <w:rPr>
          <w:rFonts w:ascii="SimSun" w:hAnsi="SimSun" w:cs="SimSun"/>
          <w:color w:val="000000"/>
          <w:spacing w:val="-3"/>
          <w:szCs w:val="22"/>
          <w:lang w:val="en-US" w:eastAsia="en-US" w:bidi="ar-SA"/>
        </w:rPr>
        <w:t>股，转增</w:t>
      </w:r>
    </w:p>
    <w:p>
      <w:pPr>
        <w:framePr w:w="8640" w:x="1800" w:y="5020"/>
        <w:widowControl w:val="0"/>
        <w:autoSpaceDE w:val="0"/>
        <w:autoSpaceDN w:val="0"/>
        <w:spacing w:before="228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后公司总股本由</w:t>
      </w:r>
      <w:r>
        <w:rPr>
          <w:rFonts w:hAnsi="Calibri"/>
          <w:color w:val="000000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Cs w:val="22"/>
          <w:lang w:val="en-US" w:eastAsia="en-US" w:bidi="ar-SA"/>
        </w:rPr>
        <w:t>15,849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万股增加至</w:t>
      </w:r>
      <w:r>
        <w:rPr>
          <w:rFonts w:hAnsi="Calibri"/>
          <w:color w:val="000000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Cs w:val="22"/>
          <w:lang w:val="en-US" w:eastAsia="en-US" w:bidi="ar-SA"/>
        </w:rPr>
        <w:t>22,188.60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万股。</w:t>
      </w:r>
    </w:p>
    <w:p>
      <w:pPr>
        <w:framePr w:w="8640" w:x="1800" w:y="7984"/>
        <w:widowControl w:val="0"/>
        <w:autoSpaceDE w:val="0"/>
        <w:autoSpaceDN w:val="0"/>
        <w:spacing w:line="240" w:lineRule="exact"/>
        <w:ind w:left="480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3"/>
          <w:szCs w:val="22"/>
          <w:lang w:val="en-US" w:eastAsia="en-US" w:bidi="ar-SA"/>
        </w:rPr>
        <w:t>据此，公司拟对《公司章程》相关条款进行修订，具体修订条款请见《公司</w:t>
      </w:r>
    </w:p>
    <w:p>
      <w:pPr>
        <w:framePr w:w="8640" w:x="1800" w:y="7984"/>
        <w:widowControl w:val="0"/>
        <w:autoSpaceDE w:val="0"/>
        <w:autoSpaceDN w:val="0"/>
        <w:spacing w:before="228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3"/>
          <w:szCs w:val="22"/>
          <w:lang w:val="en-US" w:eastAsia="en-US" w:bidi="ar-SA"/>
        </w:rPr>
        <w:t>章程》修订对比表。修订后的《公司章程》自公司本次资本公积金转增股本实施</w:t>
      </w:r>
    </w:p>
    <w:p>
      <w:pPr>
        <w:framePr w:w="8640" w:x="1800" w:y="7984"/>
        <w:widowControl w:val="0"/>
        <w:autoSpaceDE w:val="0"/>
        <w:autoSpaceDN w:val="0"/>
        <w:spacing w:before="228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3"/>
          <w:szCs w:val="22"/>
          <w:lang w:val="en-US" w:eastAsia="en-US" w:bidi="ar-SA"/>
        </w:rPr>
        <w:t>完成后生效。同时，公司授权经营管理层在本次资本公积金转增股本实施完成后</w:t>
      </w:r>
    </w:p>
    <w:p>
      <w:pPr>
        <w:framePr w:w="8640" w:x="1800" w:y="7984"/>
        <w:widowControl w:val="0"/>
        <w:autoSpaceDE w:val="0"/>
        <w:autoSpaceDN w:val="0"/>
        <w:spacing w:before="228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3"/>
          <w:szCs w:val="22"/>
          <w:lang w:val="en-US" w:eastAsia="en-US" w:bidi="ar-SA"/>
        </w:rPr>
        <w:t>全权办理与注册资本变更、《公司章程》修改相关的工商变更登记等事宜。并同</w:t>
      </w:r>
    </w:p>
    <w:p>
      <w:pPr>
        <w:framePr w:w="8640" w:x="1800" w:y="7984"/>
        <w:widowControl w:val="0"/>
        <w:autoSpaceDE w:val="0"/>
        <w:autoSpaceDN w:val="0"/>
        <w:spacing w:before="228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意将该议案提交公司股东大会审议。《公司章程》对应条款作如下修改：</w:t>
      </w:r>
    </w:p>
    <w:p>
      <w:pPr>
        <w:framePr w:w="960" w:x="3164" w:y="10562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原条款</w:t>
      </w:r>
    </w:p>
    <w:p>
      <w:pPr>
        <w:framePr w:w="1440" w:x="7741" w:y="10562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修订后条款</w:t>
      </w:r>
    </w:p>
    <w:p>
      <w:pPr>
        <w:framePr w:w="9667" w:x="1200" w:y="11117"/>
        <w:widowControl w:val="0"/>
        <w:autoSpaceDE w:val="0"/>
        <w:autoSpaceDN w:val="0"/>
        <w:spacing w:line="240" w:lineRule="exact"/>
        <w:rPr>
          <w:rFonts w:ascii="SimSun"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14"/>
          <w:szCs w:val="22"/>
          <w:lang w:val="en-US" w:eastAsia="en-US" w:bidi="ar-SA"/>
        </w:rPr>
        <w:t>第六条</w:t>
      </w:r>
      <w:r>
        <w:rPr>
          <w:rFonts w:hAnsi="Calibri"/>
          <w:color w:val="000000"/>
          <w:spacing w:val="75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pacing w:val="14"/>
          <w:szCs w:val="22"/>
          <w:lang w:val="en-US" w:eastAsia="en-US" w:bidi="ar-SA"/>
        </w:rPr>
        <w:t>公司注册资本为人民币</w:t>
      </w:r>
      <w:r>
        <w:rPr>
          <w:rFonts w:hAnsi="Calibri"/>
          <w:color w:val="000000"/>
          <w:spacing w:val="63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Cs w:val="22"/>
          <w:lang w:val="en-US" w:eastAsia="en-US" w:bidi="ar-SA"/>
        </w:rPr>
        <w:t>15,849.00</w:t>
      </w:r>
      <w:r>
        <w:rPr>
          <w:rFonts w:ascii="SimSun" w:hAnsi="Calibri"/>
          <w:color w:val="000000"/>
          <w:spacing w:val="96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pacing w:val="10"/>
          <w:szCs w:val="22"/>
          <w:lang w:val="en-US" w:eastAsia="en-US" w:bidi="ar-SA"/>
        </w:rPr>
        <w:t>第六条</w:t>
      </w:r>
      <w:r>
        <w:rPr>
          <w:rFonts w:hAnsi="Calibri"/>
          <w:color w:val="000000"/>
          <w:spacing w:val="68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pacing w:val="9"/>
          <w:szCs w:val="22"/>
          <w:lang w:val="en-US" w:eastAsia="en-US" w:bidi="ar-SA"/>
        </w:rPr>
        <w:t>公司注册资本为人民币</w:t>
      </w:r>
      <w:r>
        <w:rPr>
          <w:rFonts w:hAnsi="Calibri"/>
          <w:color w:val="000000"/>
          <w:spacing w:val="64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Cs w:val="22"/>
          <w:lang w:val="en-US" w:eastAsia="en-US" w:bidi="ar-SA"/>
        </w:rPr>
        <w:t>22,188.60</w:t>
      </w:r>
    </w:p>
    <w:p>
      <w:pPr>
        <w:framePr w:w="9667" w:x="1200" w:y="11117"/>
        <w:widowControl w:val="0"/>
        <w:autoSpaceDE w:val="0"/>
        <w:autoSpaceDN w:val="0"/>
        <w:spacing w:before="228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万元。</w:t>
      </w:r>
      <w:r>
        <w:rPr>
          <w:rFonts w:hAnsi="Calibri"/>
          <w:color w:val="000000"/>
          <w:spacing w:val="4081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万元。</w:t>
      </w:r>
    </w:p>
    <w:p>
      <w:pPr>
        <w:framePr w:w="9664" w:x="1200" w:y="12118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5"/>
          <w:szCs w:val="22"/>
          <w:lang w:val="en-US" w:eastAsia="en-US" w:bidi="ar-SA"/>
        </w:rPr>
        <w:t>第十九条</w:t>
      </w:r>
      <w:r>
        <w:rPr>
          <w:rFonts w:hAnsi="Calibri"/>
          <w:color w:val="000000"/>
          <w:spacing w:val="65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pacing w:val="6"/>
          <w:szCs w:val="22"/>
          <w:lang w:val="en-US" w:eastAsia="en-US" w:bidi="ar-SA"/>
        </w:rPr>
        <w:t>公司的股份总数为</w:t>
      </w:r>
      <w:r>
        <w:rPr>
          <w:rFonts w:hAnsi="Calibri"/>
          <w:color w:val="000000"/>
          <w:spacing w:val="69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Cs w:val="22"/>
          <w:lang w:val="en-US" w:eastAsia="en-US" w:bidi="ar-SA"/>
        </w:rPr>
        <w:t>15,849.00</w:t>
      </w:r>
      <w:r>
        <w:rPr>
          <w:rFonts w:ascii="SimSun" w:hAnsi="Calibri"/>
          <w:color w:val="000000"/>
          <w:spacing w:val="5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万</w:t>
      </w:r>
      <w:r>
        <w:rPr>
          <w:rFonts w:hAnsi="Calibri"/>
          <w:color w:val="000000"/>
          <w:spacing w:val="156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第十九条</w:t>
      </w:r>
      <w:r>
        <w:rPr>
          <w:rFonts w:hAnsi="Calibri"/>
          <w:color w:val="000000"/>
          <w:spacing w:val="60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公司的股份总数为</w:t>
      </w:r>
      <w:r>
        <w:rPr>
          <w:rFonts w:hAnsi="Calibri"/>
          <w:color w:val="000000"/>
          <w:spacing w:val="61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Cs w:val="22"/>
          <w:lang w:val="en-US" w:eastAsia="en-US" w:bidi="ar-SA"/>
        </w:rPr>
        <w:t>22,188.60</w:t>
      </w:r>
      <w:r>
        <w:rPr>
          <w:rFonts w:ascii="SimSun" w:hAnsi="Calibri"/>
          <w:color w:val="000000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万</w:t>
      </w:r>
    </w:p>
    <w:p>
      <w:pPr>
        <w:framePr w:w="9664" w:x="1200" w:y="12118"/>
        <w:widowControl w:val="0"/>
        <w:autoSpaceDE w:val="0"/>
        <w:autoSpaceDN w:val="0"/>
        <w:spacing w:before="229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股，均为人民币普通股。</w:t>
      </w:r>
      <w:r>
        <w:rPr>
          <w:rFonts w:hAnsi="Calibri"/>
          <w:color w:val="000000"/>
          <w:spacing w:val="2161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股，均为人民币普通股。</w:t>
      </w:r>
    </w:p>
    <w:p>
      <w:pPr>
        <w:framePr w:w="6721" w:x="2280" w:y="13121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除修订上述条款内容外，《公司章程》的其他条款内容不变。</w:t>
      </w:r>
    </w:p>
    <w:p>
      <w:pPr>
        <w:framePr w:w="6721" w:x="2280" w:y="13121"/>
        <w:widowControl w:val="0"/>
        <w:autoSpaceDE w:val="0"/>
        <w:autoSpaceDN w:val="0"/>
        <w:spacing w:before="384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特此公告。</w:t>
      </w:r>
    </w:p>
    <w:p>
      <w:pPr>
        <w:framePr w:w="3841" w:x="6481" w:y="14369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山东先达农化股份有限公司董事会</w:t>
      </w:r>
    </w:p>
    <w:p>
      <w:pPr>
        <w:framePr w:w="3841" w:x="6481" w:y="14369"/>
        <w:widowControl w:val="0"/>
        <w:autoSpaceDE w:val="0"/>
        <w:autoSpaceDN w:val="0"/>
        <w:spacing w:before="376" w:line="266" w:lineRule="exact"/>
        <w:ind w:left="1080"/>
        <w:rPr>
          <w:rFonts w:hAnsi="Calibri"/>
          <w:color w:val="000000"/>
          <w:szCs w:val="22"/>
          <w:lang w:val="en-US" w:eastAsia="en-US" w:bidi="ar-SA"/>
        </w:rPr>
      </w:pPr>
      <w:r>
        <w:rPr>
          <w:rFonts w:hAnsi="Calibri"/>
          <w:color w:val="000000"/>
          <w:szCs w:val="22"/>
          <w:lang w:val="en-US" w:eastAsia="en-US" w:bidi="ar-SA"/>
        </w:rPr>
        <w:t>2021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年</w:t>
      </w:r>
      <w:r>
        <w:rPr>
          <w:rFonts w:hAnsi="Calibri"/>
          <w:color w:val="000000"/>
          <w:szCs w:val="22"/>
          <w:lang w:val="en-US" w:eastAsia="en-US" w:bidi="ar-SA"/>
        </w:rPr>
        <w:t>4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月</w:t>
      </w:r>
      <w:r>
        <w:rPr>
          <w:rFonts w:hAnsi="Calibri"/>
          <w:color w:val="000000"/>
          <w:szCs w:val="22"/>
          <w:lang w:val="en-US" w:eastAsia="en-US" w:bidi="ar-SA"/>
        </w:rPr>
        <w:t>27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日</w:t>
      </w:r>
    </w:p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433.1pt;height:65.5pt;margin-top:173.05pt;margin-left:83.5pt;mso-position-horizontal-relative:page;mso-position-vertical-relative:page;position:absolute;z-index:-251657216">
            <v:imagedata r:id="rId4" o:title=""/>
          </v:shape>
        </w:pict>
      </w:r>
      <w:r>
        <w:rPr>
          <w:noProof/>
        </w:rPr>
        <w:pict>
          <v:shape id="_x0000_s1026" type="#_x0000_t75" style="width:484.5pt;height:134.05pt;margin-top:517.4pt;margin-left:53.35pt;mso-position-horizontal-relative:page;mso-position-vertical-relative:page;position:absolute;z-index:-251658240">
            <v:imagedata r:id="rId5" o:title=""/>
          </v:shape>
        </w:pict>
      </w:r>
    </w:p>
    <w:sectPr>
      <w:pgSz w:w="11900" w:h="16820"/>
      <w:pgMar w:top="0" w:right="0" w:bottom="0" w:left="0" w:header="720" w:footer="720" w:gutter="0"/>
      <w:pgNumType w:start="1"/>
      <w:cols w:sep="0" w:space="720"/>
      <w:docGrid w:linePitch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pitch w:val="variable"/>
    <w:sig w:usb0="01010101" w:usb1="01010101" w:usb2="01010101" w:usb3="01010101" w:csb0="01010101" w:csb1="01010101"/>
  </w:font>
  <w:font w:name="SimSun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