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2167" w:x="1800" w:y="1535"/>
        <w:widowControl w:val="0"/>
        <w:autoSpaceDE w:val="0"/>
        <w:autoSpaceDN w:val="0"/>
        <w:spacing w:line="240" w:lineRule="exact"/>
        <w:rPr>
          <w:rFonts w:ascii="SimSun"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证券代码：</w:t>
      </w:r>
      <w:r>
        <w:rPr>
          <w:rFonts w:ascii="SimSun" w:hAnsi="Calibri"/>
          <w:color w:val="000000"/>
          <w:spacing w:val="1"/>
          <w:szCs w:val="22"/>
          <w:lang w:val="en-US" w:eastAsia="en-US" w:bidi="ar-SA"/>
        </w:rPr>
        <w:t>603086</w:t>
      </w:r>
    </w:p>
    <w:p>
      <w:pPr>
        <w:framePr w:w="2402" w:x="4691" w:y="1535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证券简称：先达股份</w:t>
      </w:r>
    </w:p>
    <w:p>
      <w:pPr>
        <w:framePr w:w="2408" w:x="7941" w:y="1535"/>
        <w:widowControl w:val="0"/>
        <w:autoSpaceDE w:val="0"/>
        <w:autoSpaceDN w:val="0"/>
        <w:spacing w:line="240" w:lineRule="exact"/>
        <w:rPr>
          <w:rFonts w:ascii="SimSun"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公告编号：</w:t>
      </w:r>
      <w:r>
        <w:rPr>
          <w:rFonts w:ascii="SimSun" w:hAnsi="Calibri"/>
          <w:color w:val="000000"/>
          <w:spacing w:val="1"/>
          <w:szCs w:val="22"/>
          <w:lang w:val="en-US" w:eastAsia="en-US" w:bidi="ar-SA"/>
        </w:rPr>
        <w:t>2021-016</w:t>
      </w:r>
    </w:p>
    <w:p>
      <w:pPr>
        <w:framePr w:w="4093" w:x="4026" w:y="2196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Sun" w:hAnsi="SimSun" w:cs="SimSun"/>
          <w:color w:val="FF0000"/>
          <w:spacing w:val="1"/>
          <w:sz w:val="32"/>
          <w:szCs w:val="22"/>
          <w:lang w:val="en-US" w:eastAsia="en-US" w:bidi="ar-SA"/>
        </w:rPr>
        <w:t>山东先达农化股份有限公司</w:t>
      </w:r>
    </w:p>
    <w:p>
      <w:pPr>
        <w:framePr w:w="7624" w:x="2259" w:y="2976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Sun" w:hAnsi="SimSun" w:cs="SimSun"/>
          <w:color w:val="FF0000"/>
          <w:spacing w:val="1"/>
          <w:sz w:val="32"/>
          <w:szCs w:val="22"/>
          <w:lang w:val="en-US" w:eastAsia="en-US" w:bidi="ar-SA"/>
        </w:rPr>
        <w:t>关于公司及子公司使用自有资金进行现金管理的公告</w:t>
      </w:r>
    </w:p>
    <w:p>
      <w:pPr>
        <w:framePr w:w="8530" w:x="1908" w:y="3885"/>
        <w:widowControl w:val="0"/>
        <w:autoSpaceDE w:val="0"/>
        <w:autoSpaceDN w:val="0"/>
        <w:spacing w:line="240" w:lineRule="exact"/>
        <w:ind w:left="48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本公司董事会及全体董事保证本公告内容不存在任何虚假记载、误导性陈述</w:t>
      </w:r>
    </w:p>
    <w:p>
      <w:pPr>
        <w:framePr w:w="8530" w:x="1908" w:y="3885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或者重大遗漏，并对其内容的真实性、准确性和完整性承担个别及连带责任。</w:t>
      </w:r>
    </w:p>
    <w:p>
      <w:pPr>
        <w:framePr w:w="8640" w:x="1800" w:y="5143"/>
        <w:widowControl w:val="0"/>
        <w:autoSpaceDE w:val="0"/>
        <w:autoSpaceDN w:val="0"/>
        <w:spacing w:line="240" w:lineRule="exact"/>
        <w:ind w:left="48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5"/>
          <w:szCs w:val="22"/>
          <w:lang w:val="en-US" w:eastAsia="en-US" w:bidi="ar-SA"/>
        </w:rPr>
        <w:t>山东先达农化股份有限公司（以下简称“公司”）于</w:t>
      </w:r>
      <w:r>
        <w:rPr>
          <w:rFonts w:hAnsi="Calibri"/>
          <w:color w:val="000000"/>
          <w:spacing w:val="11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2021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65"/>
          <w:szCs w:val="22"/>
          <w:lang w:val="en-US" w:eastAsia="en-US" w:bidi="ar-SA"/>
        </w:rPr>
        <w:t>4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月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26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日召开</w:t>
      </w:r>
    </w:p>
    <w:p>
      <w:pPr>
        <w:framePr w:w="8640" w:x="1800" w:y="5143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第四届董事会第二次会议及第四届监事会第二次会议，审议通过了《关于公司及</w:t>
      </w:r>
    </w:p>
    <w:p>
      <w:pPr>
        <w:framePr w:w="8640" w:x="1800" w:y="5143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子公司使用自有资金进行现金管理的议案》，同意公司及子公司拟使用不超过人</w:t>
      </w:r>
    </w:p>
    <w:p>
      <w:pPr>
        <w:framePr w:w="8640" w:x="1800" w:y="5143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民币</w:t>
      </w:r>
      <w:r>
        <w:rPr>
          <w:rFonts w:hAnsi="Calibri"/>
          <w:color w:val="000000"/>
          <w:spacing w:val="12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35,000</w:t>
      </w:r>
      <w:r>
        <w:rPr>
          <w:rFonts w:ascii="SimSun" w:hAnsi="Calibri"/>
          <w:color w:val="000000"/>
          <w:spacing w:val="-48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万元的自有资金购买银行、基金公司、证券公司等金融机构理财产</w:t>
      </w:r>
    </w:p>
    <w:p>
      <w:pPr>
        <w:framePr w:w="8640" w:x="1800" w:y="5143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品，使用期限为自本次董事会审议通过之日起</w:t>
      </w:r>
      <w:r>
        <w:rPr>
          <w:rFonts w:hAnsi="Calibri"/>
          <w:color w:val="000000"/>
          <w:spacing w:val="13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12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个月内有效。该议案无需提交</w:t>
      </w:r>
    </w:p>
    <w:p>
      <w:pPr>
        <w:framePr w:w="8640" w:x="1800" w:y="5143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股东大会审议通过。现将相关事项公告如下：</w:t>
      </w:r>
    </w:p>
    <w:p>
      <w:pPr>
        <w:framePr w:w="4818" w:x="2283" w:y="8107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Cs w:val="22"/>
          <w:lang w:val="en-US" w:eastAsia="en-US" w:bidi="ar-SA"/>
        </w:rPr>
        <w:t>一、本次使用自有资金进行现金管理的情况</w:t>
      </w:r>
    </w:p>
    <w:p>
      <w:pPr>
        <w:framePr w:w="8544" w:x="1800" w:y="8731"/>
        <w:widowControl w:val="0"/>
        <w:autoSpaceDE w:val="0"/>
        <w:autoSpaceDN w:val="0"/>
        <w:spacing w:line="240" w:lineRule="exact"/>
        <w:ind w:left="48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为了提高公司及子公司资金使用效率，合理利用公司资源，公司及子公司拟</w:t>
      </w:r>
    </w:p>
    <w:p>
      <w:pPr>
        <w:framePr w:w="8544" w:x="1800" w:y="8731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使用自有资金进行现金管理。</w:t>
      </w:r>
    </w:p>
    <w:p>
      <w:pPr>
        <w:framePr w:w="1560" w:x="2280" w:y="9823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Calibri"/>
          <w:color w:val="000000"/>
          <w:szCs w:val="22"/>
          <w:lang w:val="en-US" w:eastAsia="en-US" w:bidi="ar-SA"/>
        </w:rPr>
        <w:t>1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、投资目的</w:t>
      </w:r>
    </w:p>
    <w:p>
      <w:pPr>
        <w:framePr w:w="8640" w:x="1800" w:y="10447"/>
        <w:widowControl w:val="0"/>
        <w:autoSpaceDE w:val="0"/>
        <w:autoSpaceDN w:val="0"/>
        <w:spacing w:line="240" w:lineRule="exact"/>
        <w:ind w:left="48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为提高自有资金使用效率，在确保不影响公司正常经营，并有效控制风险的</w:t>
      </w:r>
    </w:p>
    <w:p>
      <w:pPr>
        <w:framePr w:w="8640" w:x="1800" w:y="10447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前提下，充分利用闲置自有资金进行现金管理，以增加公司投资收益，为公司及</w:t>
      </w:r>
    </w:p>
    <w:p>
      <w:pPr>
        <w:framePr w:w="8640" w:x="1800" w:y="10447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股东谋求更多的投资回报。</w:t>
      </w:r>
    </w:p>
    <w:p>
      <w:pPr>
        <w:framePr w:w="2280" w:x="2280" w:y="12007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Calibri"/>
          <w:color w:val="000000"/>
          <w:szCs w:val="22"/>
          <w:lang w:val="en-US" w:eastAsia="en-US" w:bidi="ar-SA"/>
        </w:rPr>
        <w:t>2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、投资额度和期限</w:t>
      </w:r>
    </w:p>
    <w:p>
      <w:pPr>
        <w:framePr w:w="8547" w:x="1800" w:y="12632"/>
        <w:widowControl w:val="0"/>
        <w:autoSpaceDE w:val="0"/>
        <w:autoSpaceDN w:val="0"/>
        <w:spacing w:line="240" w:lineRule="exact"/>
        <w:ind w:left="48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公司及子公司拟使用不超过人民币</w:t>
      </w:r>
      <w:r>
        <w:rPr>
          <w:rFonts w:hAnsi="Calibri"/>
          <w:color w:val="000000"/>
          <w:spacing w:val="13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35,000</w:t>
      </w:r>
      <w:r>
        <w:rPr>
          <w:rFonts w:ascii="SimSun" w:hAnsi="Calibri"/>
          <w:color w:val="000000"/>
          <w:spacing w:val="-48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万元的自有资金进行现金管理，</w:t>
      </w:r>
    </w:p>
    <w:p>
      <w:pPr>
        <w:framePr w:w="8547" w:x="1800" w:y="12632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在上述额度内资金可循环使用。使用期限为自本次董事会审议通过之日起</w:t>
      </w:r>
      <w:r>
        <w:rPr>
          <w:rFonts w:hAnsi="Calibri"/>
          <w:color w:val="000000"/>
          <w:spacing w:val="14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12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个</w:t>
      </w:r>
    </w:p>
    <w:p>
      <w:pPr>
        <w:framePr w:w="8547" w:x="1800" w:y="12632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月内有效。</w:t>
      </w:r>
    </w:p>
    <w:p>
      <w:pPr>
        <w:framePr w:w="1560" w:x="2280" w:y="14192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Calibri"/>
          <w:color w:val="000000"/>
          <w:szCs w:val="22"/>
          <w:lang w:val="en-US" w:eastAsia="en-US" w:bidi="ar-SA"/>
        </w:rPr>
        <w:t>3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、投资品种</w:t>
      </w:r>
    </w:p>
    <w:p>
      <w:pPr>
        <w:framePr w:w="8160" w:x="2280" w:y="14816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公司及子公司使用自有资金购买的理财品种仅限于安全性高、低风险、流动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33.1pt;height:65.35pt;margin-top:179.3pt;margin-left:83.5pt;mso-position-horizontal-relative:page;mso-position-vertical-relative:page;position:absolute;z-index:-251658240">
            <v:imagedata r:id="rId4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5040" w:x="1800" w:y="153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性好、保本或非保本型等金融机构理财产品。</w:t>
      </w:r>
    </w:p>
    <w:p>
      <w:pPr>
        <w:framePr w:w="1560" w:x="2280" w:y="2159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4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、资金来源</w:t>
      </w:r>
    </w:p>
    <w:p>
      <w:pPr>
        <w:framePr w:w="8880" w:x="1800" w:y="2783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本次用于购买上述理财产品的资金来源于公司及子公司的自有资金。在具体</w:t>
      </w:r>
    </w:p>
    <w:p>
      <w:pPr>
        <w:framePr w:w="8880" w:x="1800" w:y="2783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投资操作时公司对资金收支进行合理预算和安排，不会对日常经营活动产生影响。</w:t>
      </w:r>
    </w:p>
    <w:p>
      <w:pPr>
        <w:framePr w:w="1560" w:x="2280" w:y="387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5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、实施方式</w:t>
      </w:r>
    </w:p>
    <w:p>
      <w:pPr>
        <w:framePr w:w="8880" w:x="1800" w:y="4499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在有效期内和额度范围内，由公司经营管理层行使决策权，权限包括但不限</w:t>
      </w:r>
    </w:p>
    <w:p>
      <w:pPr>
        <w:framePr w:w="8880" w:x="1800" w:y="4499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9"/>
          <w:szCs w:val="22"/>
          <w:lang w:val="en-US" w:eastAsia="en-US" w:bidi="ar-SA"/>
        </w:rPr>
        <w:t>于选择合格的产品发行主体、确定金额、选择投资产品、签署相关合同或协议等，</w:t>
      </w:r>
    </w:p>
    <w:p>
      <w:pPr>
        <w:framePr w:w="8880" w:x="1800" w:y="4499"/>
        <w:widowControl w:val="0"/>
        <w:autoSpaceDE w:val="0"/>
        <w:autoSpaceDN w:val="0"/>
        <w:spacing w:before="229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具体由公司财务管理中心负责组织实施。</w:t>
      </w:r>
    </w:p>
    <w:p>
      <w:pPr>
        <w:framePr w:w="3853" w:x="2283" w:y="6060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二、投资风险分析及风险控制措施</w:t>
      </w:r>
    </w:p>
    <w:p>
      <w:pPr>
        <w:framePr w:w="1560" w:x="2280" w:y="6684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1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、投资风险</w:t>
      </w:r>
    </w:p>
    <w:p>
      <w:pPr>
        <w:framePr w:w="8040" w:x="2280" w:y="7308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（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1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）公司根据资产情况和经营计划决策决定投资额度和期限，且投资品类</w:t>
      </w:r>
    </w:p>
    <w:p>
      <w:pPr>
        <w:framePr w:w="6000" w:x="1800" w:y="7776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存在浮动收益的可能，因此投资的实际收益不可预期。</w:t>
      </w:r>
    </w:p>
    <w:p>
      <w:pPr>
        <w:framePr w:w="8041" w:x="2280" w:y="8400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（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）尽管公司拟购买的理财产品属于低风险投资品种，但金融市场受宏观</w:t>
      </w:r>
    </w:p>
    <w:p>
      <w:pPr>
        <w:framePr w:w="6240" w:x="1800" w:y="8868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经济的影响较大，不排除该项投资受到市场波动的影响。</w:t>
      </w:r>
    </w:p>
    <w:p>
      <w:pPr>
        <w:framePr w:w="2040" w:x="2280" w:y="9492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、风险控制措施</w:t>
      </w:r>
    </w:p>
    <w:p>
      <w:pPr>
        <w:framePr w:w="8040" w:x="2280" w:y="10116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（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1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）为了保障对现金管理的有效性，严控风险，公司有关投资低风险理财</w:t>
      </w:r>
    </w:p>
    <w:p>
      <w:pPr>
        <w:framePr w:w="7440" w:x="1800" w:y="10584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产品等业务将严格按照公司内部控制管理相关规定的有关要求开展。</w:t>
      </w:r>
    </w:p>
    <w:p>
      <w:pPr>
        <w:framePr w:w="8640" w:x="1800" w:y="11208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（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）公司购买的为低风险、流动性高的稳健型理财产品，不包括银行等金</w:t>
      </w:r>
    </w:p>
    <w:p>
      <w:pPr>
        <w:framePr w:w="8640" w:x="1800" w:y="11208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融机构以股票、利率、汇率及其衍生品种为投资标的的银行理财产品，不涉及上</w:t>
      </w:r>
    </w:p>
    <w:p>
      <w:pPr>
        <w:framePr w:w="8640" w:x="1800" w:y="11208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海证券交易所规定的风险投资品种。</w:t>
      </w:r>
    </w:p>
    <w:p>
      <w:pPr>
        <w:framePr w:w="8040" w:x="2280" w:y="12769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（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3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）在上述理财产品等存续期间，公司财务管理中心将及时跟踪、分析理</w:t>
      </w:r>
    </w:p>
    <w:p>
      <w:pPr>
        <w:framePr w:w="6481" w:x="1800" w:y="13237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财产品的进展情况，加强风险控制和监督，保障资金安全。</w:t>
      </w:r>
    </w:p>
    <w:p>
      <w:pPr>
        <w:framePr w:w="8040" w:x="2280" w:y="13861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（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4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）独立董事、监事会有权对资金使用情况进行监督与检查，必要时可以</w:t>
      </w:r>
    </w:p>
    <w:p>
      <w:pPr>
        <w:framePr w:w="2880" w:x="1800" w:y="14329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聘请专业机构进行审计。</w:t>
      </w:r>
    </w:p>
    <w:p>
      <w:pPr>
        <w:framePr w:w="8280" w:x="2280" w:y="14952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（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5</w:t>
      </w:r>
      <w:r>
        <w:rPr>
          <w:rFonts w:ascii="SimSun" w:hAnsi="SimSun" w:eastAsiaTheme="minorEastAsia" w:cs="SimSun"/>
          <w:color w:val="000000"/>
          <w:spacing w:val="-7"/>
          <w:szCs w:val="22"/>
          <w:lang w:val="en-US" w:eastAsia="en-US" w:bidi="ar-SA"/>
        </w:rPr>
        <w:t>）公司内部审计机构负责对投资产品进行全面检查，并根据谨慎性原则，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2" w:name="br1_1"/>
      <w:bookmarkEnd w:id="2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7920" w:x="1800" w:y="153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合理地预计各项投资可能的风险与收益，向董事会审计委员会定期报告。</w:t>
      </w:r>
    </w:p>
    <w:p>
      <w:pPr>
        <w:framePr w:w="7920" w:x="1800" w:y="1535"/>
        <w:widowControl w:val="0"/>
        <w:autoSpaceDE w:val="0"/>
        <w:autoSpaceDN w:val="0"/>
        <w:spacing w:before="384" w:line="240" w:lineRule="exact"/>
        <w:ind w:left="482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三、对公司日常经营的影响</w:t>
      </w:r>
    </w:p>
    <w:p>
      <w:pPr>
        <w:framePr w:w="8662" w:x="1800" w:y="2783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公司及子公司本次使用自有资金进行现金管理，是在确保公司日常经营和资</w:t>
      </w:r>
    </w:p>
    <w:p>
      <w:pPr>
        <w:framePr w:w="8662" w:x="1800" w:y="2783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金流动性、安全性的前提下实施的，不影响公司日常资金正常周转需要，不影响</w:t>
      </w:r>
    </w:p>
    <w:p>
      <w:pPr>
        <w:framePr w:w="8662" w:x="1800" w:y="2783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公司主营业务的正常发展。同时能够提高资金使用效率，获得一定的投资收益，</w:t>
      </w:r>
    </w:p>
    <w:p>
      <w:pPr>
        <w:framePr w:w="8662" w:x="1800" w:y="2783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为公司和股东谋取更多的投资回报。</w:t>
      </w:r>
    </w:p>
    <w:p>
      <w:pPr>
        <w:framePr w:w="1684" w:x="2283" w:y="4811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四、审议程序</w:t>
      </w:r>
    </w:p>
    <w:p>
      <w:pPr>
        <w:framePr w:w="9120" w:x="1800" w:y="5436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公司于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2021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</w:t>
      </w:r>
      <w:r>
        <w:rPr>
          <w:rFonts w:ascii="SimSun" w:eastAsiaTheme="minorEastAsia" w:hAnsiTheme="minorHAnsi" w:cstheme="minorBidi"/>
          <w:color w:val="000000"/>
          <w:spacing w:val="1"/>
          <w:szCs w:val="22"/>
          <w:lang w:val="en-US" w:eastAsia="en-US" w:bidi="ar-SA"/>
        </w:rPr>
        <w:t>4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月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26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日召开了第四届董事会第二次会议及第四届监事会第二</w:t>
      </w:r>
    </w:p>
    <w:p>
      <w:pPr>
        <w:framePr w:w="9120" w:x="1800" w:y="5436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9"/>
          <w:szCs w:val="22"/>
          <w:lang w:val="en-US" w:eastAsia="en-US" w:bidi="ar-SA"/>
        </w:rPr>
        <w:t>次会议，分别审议通过了《关于公司及子公司使用自有资金进行现金管理的议案》，</w:t>
      </w:r>
    </w:p>
    <w:p>
      <w:pPr>
        <w:framePr w:w="9120" w:x="1800" w:y="5436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同意公司及子公司使用不超过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35,000</w:t>
      </w:r>
      <w:r>
        <w:rPr>
          <w:rFonts w:ascii="SimSun" w:hAnsi="SimSun" w:eastAsiaTheme="minorEastAsia" w:cs="SimSun"/>
          <w:color w:val="000000"/>
          <w:spacing w:val="-5"/>
          <w:szCs w:val="22"/>
          <w:lang w:val="en-US" w:eastAsia="en-US" w:bidi="ar-SA"/>
        </w:rPr>
        <w:t>万元的自有资金进行现金管理，期限为自本</w:t>
      </w:r>
    </w:p>
    <w:p>
      <w:pPr>
        <w:framePr w:w="9120" w:x="1800" w:y="5436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次董事会审议通过之日起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12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个月内有效，在该额度内资金可循环使用。</w:t>
      </w:r>
    </w:p>
    <w:p>
      <w:pPr>
        <w:framePr w:w="2166" w:x="2283" w:y="7464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五、独立董事意见</w:t>
      </w:r>
    </w:p>
    <w:p>
      <w:pPr>
        <w:framePr w:w="8640" w:x="1800" w:y="8088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独立董事认为：在确保正常生产经营资金需求的前提下，公司及子公司对部</w:t>
      </w:r>
    </w:p>
    <w:p>
      <w:pPr>
        <w:framePr w:w="8640" w:x="1800" w:y="8088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分闲置自有资金进行现金管理，有利于提高资金使用效率，增加投资收益，不会</w:t>
      </w:r>
    </w:p>
    <w:p>
      <w:pPr>
        <w:framePr w:w="8640" w:x="1800" w:y="8088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对公司主营业务造成影响，不存在损害公司及全体股东利益的情形。因此，我们</w:t>
      </w:r>
    </w:p>
    <w:p>
      <w:pPr>
        <w:framePr w:w="8640" w:x="1800" w:y="8088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一致同意公司及子公司使用不超过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35,000</w:t>
      </w:r>
      <w:r>
        <w:rPr>
          <w:rFonts w:ascii="SimSun" w:hAnsi="SimSun" w:eastAsiaTheme="minorEastAsia" w:cs="SimSun"/>
          <w:color w:val="000000"/>
          <w:spacing w:val="-6"/>
          <w:szCs w:val="22"/>
          <w:lang w:val="en-US" w:eastAsia="en-US" w:bidi="ar-SA"/>
        </w:rPr>
        <w:t>万元的自有资金进行现金管理，在授权</w:t>
      </w:r>
    </w:p>
    <w:p>
      <w:pPr>
        <w:framePr w:w="8640" w:x="1800" w:y="8088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的额度和有效期内资金可以滚动使用。</w:t>
      </w:r>
    </w:p>
    <w:p>
      <w:pPr>
        <w:framePr w:w="1926" w:x="2283" w:y="10584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六、监事会意见</w:t>
      </w:r>
    </w:p>
    <w:p>
      <w:pPr>
        <w:framePr w:w="8640" w:x="1800" w:y="11208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监事会认为：公司及子公司使用自有资金进行现金管理是在确保公司日常运</w:t>
      </w:r>
    </w:p>
    <w:p>
      <w:pPr>
        <w:framePr w:w="8640" w:x="1800" w:y="11208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营和资金安全的前提下实施的，不影响公司日常资金正常周转需要，通过对自有</w:t>
      </w:r>
    </w:p>
    <w:p>
      <w:pPr>
        <w:framePr w:w="8640" w:x="1800" w:y="11208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资金进行现金管理，可以减少资金闲置，增加投资收益，有利于进一步提升公司</w:t>
      </w:r>
    </w:p>
    <w:p>
      <w:pPr>
        <w:framePr w:w="8640" w:x="1800" w:y="11208"/>
        <w:widowControl w:val="0"/>
        <w:autoSpaceDE w:val="0"/>
        <w:autoSpaceDN w:val="0"/>
        <w:spacing w:before="229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整体业绩水平，为公司和股东谋取更多的投资回报。因此，监事会同意公司及子</w:t>
      </w:r>
    </w:p>
    <w:p>
      <w:pPr>
        <w:framePr w:w="8640" w:x="1800" w:y="11208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公司使用不超过</w:t>
      </w: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35,000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万元的自有资金进行现金管理。</w:t>
      </w:r>
    </w:p>
    <w:p>
      <w:pPr>
        <w:framePr w:w="1440" w:x="2280" w:y="1370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特此公告。</w:t>
      </w:r>
    </w:p>
    <w:p>
      <w:pPr>
        <w:framePr w:w="3840" w:x="6481" w:y="14329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山东先达农化股份有限公司董事会</w:t>
      </w:r>
    </w:p>
    <w:p>
      <w:pPr>
        <w:framePr w:w="3840" w:x="6481" w:y="14329"/>
        <w:widowControl w:val="0"/>
        <w:autoSpaceDE w:val="0"/>
        <w:autoSpaceDN w:val="0"/>
        <w:spacing w:before="384" w:line="240" w:lineRule="exact"/>
        <w:ind w:left="132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2021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4</w:t>
      </w: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月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27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日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