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2184" w:x="1800" w:y="1535"/>
        <w:widowControl w:val="0"/>
        <w:autoSpaceDE w:val="0"/>
        <w:autoSpaceDN w:val="0"/>
        <w:spacing w:line="240" w:lineRule="exact"/>
        <w:rPr>
          <w:rFonts w:ascii="SimSun" w:hAnsi="Calibri"/>
          <w:color w:val="000000"/>
          <w:szCs w:val="22"/>
          <w:lang w:val="en-US" w:eastAsia="en-US" w:bidi="ar-SA"/>
        </w:rPr>
      </w:pPr>
      <w:r>
        <w:rPr>
          <w:rFonts w:ascii="SimSun" w:hAnsi="SimSun" w:cs="SimSun"/>
          <w:color w:val="000000"/>
          <w:spacing w:val="2"/>
          <w:szCs w:val="22"/>
          <w:lang w:val="en-US" w:eastAsia="en-US" w:bidi="ar-SA"/>
        </w:rPr>
        <w:t>证券代码：</w:t>
      </w:r>
      <w:r>
        <w:rPr>
          <w:rFonts w:ascii="SimSun" w:hAnsi="Calibri"/>
          <w:color w:val="000000"/>
          <w:spacing w:val="2"/>
          <w:szCs w:val="22"/>
          <w:lang w:val="en-US" w:eastAsia="en-US" w:bidi="ar-SA"/>
        </w:rPr>
        <w:t>603086</w:t>
      </w:r>
    </w:p>
    <w:p>
      <w:pPr>
        <w:framePr w:w="2419" w:x="5094" w:y="1535"/>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2"/>
          <w:szCs w:val="22"/>
          <w:lang w:val="en-US" w:eastAsia="en-US" w:bidi="ar-SA"/>
        </w:rPr>
        <w:t>证券简称：先达股份</w:t>
      </w:r>
    </w:p>
    <w:p>
      <w:pPr>
        <w:framePr w:w="2429" w:x="7888" w:y="1535"/>
        <w:widowControl w:val="0"/>
        <w:autoSpaceDE w:val="0"/>
        <w:autoSpaceDN w:val="0"/>
        <w:spacing w:line="240" w:lineRule="exact"/>
        <w:rPr>
          <w:rFonts w:ascii="SimSun" w:hAnsi="Calibri"/>
          <w:color w:val="000000"/>
          <w:szCs w:val="22"/>
          <w:lang w:val="en-US" w:eastAsia="en-US" w:bidi="ar-SA"/>
        </w:rPr>
      </w:pPr>
      <w:r>
        <w:rPr>
          <w:rFonts w:ascii="SimSun" w:hAnsi="SimSun" w:cs="SimSun"/>
          <w:color w:val="000000"/>
          <w:spacing w:val="3"/>
          <w:szCs w:val="22"/>
          <w:lang w:val="en-US" w:eastAsia="en-US" w:bidi="ar-SA"/>
        </w:rPr>
        <w:t>公告编号：</w:t>
      </w:r>
      <w:r>
        <w:rPr>
          <w:rFonts w:ascii="SimSun" w:hAnsi="Calibri"/>
          <w:color w:val="000000"/>
          <w:spacing w:val="2"/>
          <w:szCs w:val="22"/>
          <w:lang w:val="en-US" w:eastAsia="en-US" w:bidi="ar-SA"/>
        </w:rPr>
        <w:t>2021-018</w:t>
      </w:r>
    </w:p>
    <w:p>
      <w:pPr>
        <w:framePr w:w="4093" w:x="4026" w:y="2172"/>
        <w:widowControl w:val="0"/>
        <w:autoSpaceDE w:val="0"/>
        <w:autoSpaceDN w:val="0"/>
        <w:spacing w:line="319" w:lineRule="exact"/>
        <w:rPr>
          <w:rFonts w:hAnsi="Calibri"/>
          <w:color w:val="000000"/>
          <w:sz w:val="32"/>
          <w:szCs w:val="22"/>
          <w:lang w:val="en-US" w:eastAsia="en-US" w:bidi="ar-SA"/>
        </w:rPr>
      </w:pPr>
      <w:r>
        <w:rPr>
          <w:rFonts w:ascii="SimSun" w:hAnsi="SimSun" w:cs="SimSun"/>
          <w:color w:val="FF0000"/>
          <w:spacing w:val="1"/>
          <w:sz w:val="32"/>
          <w:szCs w:val="22"/>
          <w:lang w:val="en-US" w:eastAsia="en-US" w:bidi="ar-SA"/>
        </w:rPr>
        <w:t>山东先达农化股份有限公司</w:t>
      </w:r>
    </w:p>
    <w:p>
      <w:pPr>
        <w:framePr w:w="6987" w:x="2580" w:y="2852"/>
        <w:widowControl w:val="0"/>
        <w:autoSpaceDE w:val="0"/>
        <w:autoSpaceDN w:val="0"/>
        <w:spacing w:line="319" w:lineRule="exact"/>
        <w:rPr>
          <w:rFonts w:hAnsi="Calibri"/>
          <w:color w:val="000000"/>
          <w:sz w:val="32"/>
          <w:szCs w:val="22"/>
          <w:lang w:val="en-US" w:eastAsia="en-US" w:bidi="ar-SA"/>
        </w:rPr>
      </w:pPr>
      <w:r>
        <w:rPr>
          <w:rFonts w:ascii="SimSun" w:hAnsi="SimSun" w:cs="SimSun"/>
          <w:color w:val="FF0000"/>
          <w:spacing w:val="1"/>
          <w:sz w:val="32"/>
          <w:szCs w:val="22"/>
          <w:lang w:val="en-US" w:eastAsia="en-US" w:bidi="ar-SA"/>
        </w:rPr>
        <w:t>关于公司及子公司开展外汇套期保值业务的公告</w:t>
      </w:r>
    </w:p>
    <w:p>
      <w:pPr>
        <w:framePr w:w="8530" w:x="1908" w:y="3760"/>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3"/>
          <w:szCs w:val="22"/>
          <w:lang w:val="en-US" w:eastAsia="en-US" w:bidi="ar-SA"/>
        </w:rPr>
        <w:t>本公司董事会及全体董事保证本公告内容不存在任何虚假记载、误导性陈述</w:t>
      </w:r>
    </w:p>
    <w:p>
      <w:pPr>
        <w:framePr w:w="8530" w:x="1908" w:y="376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或者重大遗漏，并对其内容的真实性、准确性和完整性承担个别及连带责任。</w:t>
      </w:r>
    </w:p>
    <w:p>
      <w:pPr>
        <w:framePr w:w="8880" w:x="1800" w:y="5020"/>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5"/>
          <w:szCs w:val="22"/>
          <w:lang w:val="en-US" w:eastAsia="en-US" w:bidi="ar-SA"/>
        </w:rPr>
        <w:t>山东先达农化股份有限公司（以下简称“公司”）于</w:t>
      </w:r>
      <w:r>
        <w:rPr>
          <w:rFonts w:hAnsi="Calibri"/>
          <w:color w:val="000000"/>
          <w:spacing w:val="10"/>
          <w:szCs w:val="22"/>
          <w:lang w:val="en-US" w:eastAsia="en-US" w:bidi="ar-SA"/>
        </w:rPr>
        <w:t xml:space="preserve"> </w:t>
      </w:r>
      <w:r>
        <w:rPr>
          <w:rFonts w:ascii="SimSun" w:hAnsi="Calibri"/>
          <w:color w:val="000000"/>
          <w:szCs w:val="22"/>
          <w:lang w:val="en-US" w:eastAsia="en-US" w:bidi="ar-SA"/>
        </w:rPr>
        <w:t>2021</w:t>
      </w:r>
      <w:r>
        <w:rPr>
          <w:rFonts w:ascii="SimSun" w:hAnsi="SimSun" w:cs="SimSun"/>
          <w:color w:val="000000"/>
          <w:szCs w:val="22"/>
          <w:lang w:val="en-US" w:eastAsia="en-US" w:bidi="ar-SA"/>
        </w:rPr>
        <w:t>年</w:t>
      </w:r>
      <w:r>
        <w:rPr>
          <w:rFonts w:hAnsi="Calibri"/>
          <w:color w:val="000000"/>
          <w:spacing w:val="5"/>
          <w:szCs w:val="22"/>
          <w:lang w:val="en-US" w:eastAsia="en-US" w:bidi="ar-SA"/>
        </w:rPr>
        <w:t xml:space="preserve"> </w:t>
      </w:r>
      <w:r>
        <w:rPr>
          <w:rFonts w:ascii="SimSun" w:hAnsi="Calibri"/>
          <w:color w:val="000000"/>
          <w:spacing w:val="65"/>
          <w:szCs w:val="22"/>
          <w:lang w:val="en-US" w:eastAsia="en-US" w:bidi="ar-SA"/>
        </w:rPr>
        <w:t>4</w:t>
      </w:r>
      <w:r>
        <w:rPr>
          <w:rFonts w:ascii="SimSun" w:hAnsi="SimSun" w:cs="SimSun"/>
          <w:color w:val="000000"/>
          <w:szCs w:val="22"/>
          <w:lang w:val="en-US" w:eastAsia="en-US" w:bidi="ar-SA"/>
        </w:rPr>
        <w:t>月</w:t>
      </w:r>
      <w:r>
        <w:rPr>
          <w:rFonts w:hAnsi="Calibri"/>
          <w:color w:val="000000"/>
          <w:spacing w:val="5"/>
          <w:szCs w:val="22"/>
          <w:lang w:val="en-US" w:eastAsia="en-US" w:bidi="ar-SA"/>
        </w:rPr>
        <w:t xml:space="preserve"> </w:t>
      </w:r>
      <w:r>
        <w:rPr>
          <w:rFonts w:ascii="SimSun" w:hAnsi="Calibri"/>
          <w:color w:val="000000"/>
          <w:szCs w:val="22"/>
          <w:lang w:val="en-US" w:eastAsia="en-US" w:bidi="ar-SA"/>
        </w:rPr>
        <w:t>26</w:t>
      </w:r>
      <w:r>
        <w:rPr>
          <w:rFonts w:ascii="SimSun" w:hAnsi="SimSun" w:cs="SimSun"/>
          <w:color w:val="000000"/>
          <w:szCs w:val="22"/>
          <w:lang w:val="en-US" w:eastAsia="en-US" w:bidi="ar-SA"/>
        </w:rPr>
        <w:t>日召开</w:t>
      </w:r>
    </w:p>
    <w:p>
      <w:pPr>
        <w:framePr w:w="8880" w:x="1800" w:y="5020"/>
        <w:widowControl w:val="0"/>
        <w:autoSpaceDE w:val="0"/>
        <w:autoSpaceDN w:val="0"/>
        <w:spacing w:before="229" w:line="240" w:lineRule="exact"/>
        <w:rPr>
          <w:rFonts w:hAnsi="Calibri"/>
          <w:color w:val="000000"/>
          <w:szCs w:val="22"/>
          <w:lang w:val="en-US" w:eastAsia="en-US" w:bidi="ar-SA"/>
        </w:rPr>
      </w:pPr>
      <w:r>
        <w:rPr>
          <w:rFonts w:ascii="SimSun" w:hAnsi="SimSun" w:cs="SimSun"/>
          <w:color w:val="000000"/>
          <w:spacing w:val="-3"/>
          <w:szCs w:val="22"/>
          <w:lang w:val="en-US" w:eastAsia="en-US" w:bidi="ar-SA"/>
        </w:rPr>
        <w:t>第四届董事会第二次会议，审议通过了《关于公司及子公司开展外汇套期保值业</w:t>
      </w:r>
    </w:p>
    <w:p>
      <w:pPr>
        <w:framePr w:w="8880" w:x="1800" w:y="502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zCs w:val="22"/>
          <w:lang w:val="en-US" w:eastAsia="en-US" w:bidi="ar-SA"/>
        </w:rPr>
        <w:t>务的议案》，同意公司及子公司开展规模不超过</w:t>
      </w:r>
      <w:r>
        <w:rPr>
          <w:rFonts w:hAnsi="Calibri"/>
          <w:color w:val="000000"/>
          <w:spacing w:val="12"/>
          <w:szCs w:val="22"/>
          <w:lang w:val="en-US" w:eastAsia="en-US" w:bidi="ar-SA"/>
        </w:rPr>
        <w:t xml:space="preserve"> </w:t>
      </w:r>
      <w:r>
        <w:rPr>
          <w:rFonts w:ascii="SimSun" w:hAnsi="Calibri"/>
          <w:color w:val="000000"/>
          <w:szCs w:val="22"/>
          <w:lang w:val="en-US" w:eastAsia="en-US" w:bidi="ar-SA"/>
        </w:rPr>
        <w:t>15,000</w:t>
      </w:r>
      <w:r>
        <w:rPr>
          <w:rFonts w:ascii="SimSun" w:hAnsi="SimSun" w:cs="SimSun"/>
          <w:color w:val="000000"/>
          <w:szCs w:val="22"/>
          <w:lang w:val="en-US" w:eastAsia="en-US" w:bidi="ar-SA"/>
        </w:rPr>
        <w:t>万美元或等值外币外汇</w:t>
      </w:r>
    </w:p>
    <w:p>
      <w:pPr>
        <w:framePr w:w="8880" w:x="1800" w:y="502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套期保值业务，包括但不限于远期结售汇、外汇掉期、外汇互换、外汇期权业务</w:t>
      </w:r>
    </w:p>
    <w:p>
      <w:pPr>
        <w:framePr w:w="8880" w:x="1800" w:y="502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9"/>
          <w:szCs w:val="22"/>
          <w:lang w:val="en-US" w:eastAsia="en-US" w:bidi="ar-SA"/>
        </w:rPr>
        <w:t>及其他外汇衍生产品业务。在上述额度范围内，资金可循环使用。具体情况如下：</w:t>
      </w:r>
    </w:p>
    <w:p>
      <w:pPr>
        <w:framePr w:w="3853" w:x="2283" w:y="7516"/>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一、开展外汇套期保值业务的目的</w:t>
      </w:r>
    </w:p>
    <w:p>
      <w:pPr>
        <w:framePr w:w="8880" w:x="1800" w:y="8140"/>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3"/>
          <w:szCs w:val="22"/>
          <w:lang w:val="en-US" w:eastAsia="en-US" w:bidi="ar-SA"/>
        </w:rPr>
        <w:t>随着公司海外市场的不断扩张，国际业务量不断增加，当汇率出现较大波动</w:t>
      </w:r>
    </w:p>
    <w:p>
      <w:pPr>
        <w:framePr w:w="8880" w:x="1800" w:y="814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6"/>
          <w:szCs w:val="22"/>
          <w:lang w:val="en-US" w:eastAsia="en-US" w:bidi="ar-SA"/>
        </w:rPr>
        <w:t>时，汇兑损益将会对本公司的经营业绩造成一定影响。为有效规避外汇市场风险，</w:t>
      </w:r>
    </w:p>
    <w:p>
      <w:pPr>
        <w:framePr w:w="8880" w:x="1800" w:y="814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防范汇率大幅波动对公司经营业绩造成的影响，更好地维护公司及全体股东的利</w:t>
      </w:r>
    </w:p>
    <w:p>
      <w:pPr>
        <w:framePr w:w="8880" w:x="1800" w:y="8140"/>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6"/>
          <w:szCs w:val="22"/>
          <w:lang w:val="en-US" w:eastAsia="en-US" w:bidi="ar-SA"/>
        </w:rPr>
        <w:t>益，在保证日常营运资金需求的情况下，公司及子公司拟开展外汇套期保值业务。</w:t>
      </w:r>
    </w:p>
    <w:p>
      <w:pPr>
        <w:framePr w:w="4095" w:x="2283" w:y="10169"/>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二、拟开展的外汇套期保值业务情况</w:t>
      </w:r>
    </w:p>
    <w:p>
      <w:pPr>
        <w:framePr w:w="3120" w:x="2280" w:y="10793"/>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1.</w:t>
      </w:r>
      <w:r>
        <w:rPr>
          <w:rFonts w:ascii="SimSun" w:hAnsi="SimSun" w:cs="SimSun"/>
          <w:color w:val="000000"/>
          <w:szCs w:val="22"/>
          <w:lang w:val="en-US" w:eastAsia="en-US" w:bidi="ar-SA"/>
        </w:rPr>
        <w:t>主要涉及币种及业务品种</w:t>
      </w:r>
    </w:p>
    <w:p>
      <w:pPr>
        <w:framePr w:w="8640" w:x="1800" w:y="11417"/>
        <w:widowControl w:val="0"/>
        <w:autoSpaceDE w:val="0"/>
        <w:autoSpaceDN w:val="0"/>
        <w:spacing w:line="240" w:lineRule="exact"/>
        <w:ind w:left="480"/>
        <w:rPr>
          <w:rFonts w:hAnsi="Calibri"/>
          <w:color w:val="000000"/>
          <w:szCs w:val="22"/>
          <w:lang w:val="en-US" w:eastAsia="en-US" w:bidi="ar-SA"/>
        </w:rPr>
      </w:pPr>
      <w:r>
        <w:rPr>
          <w:rFonts w:ascii="SimSun" w:hAnsi="SimSun" w:cs="SimSun"/>
          <w:color w:val="000000"/>
          <w:spacing w:val="-3"/>
          <w:szCs w:val="22"/>
          <w:lang w:val="en-US" w:eastAsia="en-US" w:bidi="ar-SA"/>
        </w:rPr>
        <w:t>公司及子公司拟开展的外汇套期保值业务涉及的币种主要是美元，外汇套期</w:t>
      </w:r>
    </w:p>
    <w:p>
      <w:pPr>
        <w:framePr w:w="8640" w:x="1800" w:y="11417"/>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保值工具包括但不限于远期结售汇、外汇掉期、外汇互换、外汇期权及其他外汇</w:t>
      </w:r>
    </w:p>
    <w:p>
      <w:pPr>
        <w:framePr w:w="8640" w:x="1800" w:y="11417"/>
        <w:widowControl w:val="0"/>
        <w:autoSpaceDE w:val="0"/>
        <w:autoSpaceDN w:val="0"/>
        <w:spacing w:before="229" w:line="240" w:lineRule="exact"/>
        <w:rPr>
          <w:rFonts w:hAnsi="Calibri"/>
          <w:color w:val="000000"/>
          <w:szCs w:val="22"/>
          <w:lang w:val="en-US" w:eastAsia="en-US" w:bidi="ar-SA"/>
        </w:rPr>
      </w:pPr>
      <w:r>
        <w:rPr>
          <w:rFonts w:ascii="SimSun" w:hAnsi="SimSun" w:cs="SimSun"/>
          <w:color w:val="000000"/>
          <w:szCs w:val="22"/>
          <w:lang w:val="en-US" w:eastAsia="en-US" w:bidi="ar-SA"/>
        </w:rPr>
        <w:t>衍生产品及上述产品的组合。</w:t>
      </w:r>
    </w:p>
    <w:p>
      <w:pPr>
        <w:framePr w:w="3120" w:x="2280" w:y="12977"/>
        <w:widowControl w:val="0"/>
        <w:autoSpaceDE w:val="0"/>
        <w:autoSpaceDN w:val="0"/>
        <w:spacing w:line="240" w:lineRule="exact"/>
        <w:rPr>
          <w:rFonts w:hAnsi="Calibri"/>
          <w:color w:val="000000"/>
          <w:szCs w:val="22"/>
          <w:lang w:val="en-US" w:eastAsia="en-US" w:bidi="ar-SA"/>
        </w:rPr>
      </w:pPr>
      <w:r>
        <w:rPr>
          <w:rFonts w:ascii="SimSun" w:hAnsi="Calibri"/>
          <w:color w:val="000000"/>
          <w:szCs w:val="22"/>
          <w:lang w:val="en-US" w:eastAsia="en-US" w:bidi="ar-SA"/>
        </w:rPr>
        <w:t>2.</w:t>
      </w:r>
      <w:r>
        <w:rPr>
          <w:rFonts w:ascii="SimSun" w:hAnsi="SimSun" w:cs="SimSun"/>
          <w:color w:val="000000"/>
          <w:szCs w:val="22"/>
          <w:lang w:val="en-US" w:eastAsia="en-US" w:bidi="ar-SA"/>
        </w:rPr>
        <w:t>业务规模及投入资金来源</w:t>
      </w:r>
    </w:p>
    <w:p>
      <w:pPr>
        <w:framePr w:w="8640" w:x="1800" w:y="13601"/>
        <w:widowControl w:val="0"/>
        <w:autoSpaceDE w:val="0"/>
        <w:autoSpaceDN w:val="0"/>
        <w:spacing w:line="240" w:lineRule="exact"/>
        <w:ind w:left="480"/>
        <w:rPr>
          <w:rFonts w:ascii="SimSun" w:hAnsi="Calibri"/>
          <w:color w:val="000000"/>
          <w:szCs w:val="22"/>
          <w:lang w:val="en-US" w:eastAsia="en-US" w:bidi="ar-SA"/>
        </w:rPr>
      </w:pPr>
      <w:r>
        <w:rPr>
          <w:rFonts w:ascii="SimSun" w:hAnsi="SimSun" w:cs="SimSun"/>
          <w:color w:val="000000"/>
          <w:spacing w:val="-3"/>
          <w:szCs w:val="22"/>
          <w:lang w:val="en-US" w:eastAsia="en-US" w:bidi="ar-SA"/>
        </w:rPr>
        <w:t>根据公司资产规模及业务需求情况，公司及子公司拟开展规模不超过</w:t>
      </w:r>
      <w:r>
        <w:rPr>
          <w:rFonts w:ascii="SimSun" w:hAnsi="Calibri"/>
          <w:color w:val="000000"/>
          <w:szCs w:val="22"/>
          <w:lang w:val="en-US" w:eastAsia="en-US" w:bidi="ar-SA"/>
        </w:rPr>
        <w:t>15,000</w:t>
      </w:r>
    </w:p>
    <w:p>
      <w:pPr>
        <w:framePr w:w="8640" w:x="1800" w:y="13601"/>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万美元或等值外币外汇套期保值业务，在上述额度范围内，资金可循环使用。公</w:t>
      </w:r>
    </w:p>
    <w:p>
      <w:pPr>
        <w:framePr w:w="8640" w:x="1800" w:y="13601"/>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司及子公司除根据与银行签订的协议缴纳一定比例的保证金和期权费外，不需要</w:t>
      </w:r>
    </w:p>
    <w:p>
      <w:pPr>
        <w:framePr w:w="8640" w:x="1800" w:y="13601"/>
        <w:widowControl w:val="0"/>
        <w:autoSpaceDE w:val="0"/>
        <w:autoSpaceDN w:val="0"/>
        <w:spacing w:before="228" w:line="240" w:lineRule="exact"/>
        <w:rPr>
          <w:rFonts w:hAnsi="Calibri"/>
          <w:color w:val="000000"/>
          <w:szCs w:val="22"/>
          <w:lang w:val="en-US" w:eastAsia="en-US" w:bidi="ar-SA"/>
        </w:rPr>
      </w:pPr>
      <w:r>
        <w:rPr>
          <w:rFonts w:ascii="SimSun" w:hAnsi="SimSun" w:cs="SimSun"/>
          <w:color w:val="000000"/>
          <w:spacing w:val="-3"/>
          <w:szCs w:val="22"/>
          <w:lang w:val="en-US" w:eastAsia="en-US" w:bidi="ar-SA"/>
        </w:rPr>
        <w:t>投入其他资金，该保证金将使用公司的自有资金，不涉及募集资金。缴纳的保证</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33.1pt;height:65.5pt;margin-top:173.05pt;margin-left:83.5pt;mso-position-horizontal-relative:page;mso-position-vertical-relative:page;position:absolute;z-index:-251658240">
            <v:imagedata r:id="rId4"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5041" w:x="1800"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金比例根据与不同银行签订的具体协议确定。</w:t>
      </w:r>
    </w:p>
    <w:p>
      <w:pPr>
        <w:framePr w:w="2160" w:x="2280" w:y="2159"/>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3.</w:t>
      </w:r>
      <w:r>
        <w:rPr>
          <w:rFonts w:ascii="SimSun" w:hAnsi="SimSun" w:eastAsiaTheme="minorEastAsia" w:cs="SimSun"/>
          <w:color w:val="000000"/>
          <w:szCs w:val="22"/>
          <w:lang w:val="en-US" w:eastAsia="en-US" w:bidi="ar-SA"/>
        </w:rPr>
        <w:t>授权及交易期限</w:t>
      </w:r>
    </w:p>
    <w:p>
      <w:pPr>
        <w:framePr w:w="8547" w:x="1800" w:y="2783"/>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该业务尚需提交公司股东大会审议，期限自股东大会审议通过之日起至下一</w:t>
      </w:r>
    </w:p>
    <w:p>
      <w:pPr>
        <w:framePr w:w="8547" w:x="1800" w:y="2783"/>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年年度股东大会召开之日止。</w:t>
      </w:r>
    </w:p>
    <w:p>
      <w:pPr>
        <w:framePr w:w="3131" w:x="2283" w:y="387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三、外汇套期保值风险分析</w:t>
      </w:r>
    </w:p>
    <w:p>
      <w:pPr>
        <w:framePr w:w="8640" w:x="1800" w:y="449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公司及子公司开展外汇套期保值业务遵循稳健原则，不以投机为目的，所有</w:t>
      </w:r>
    </w:p>
    <w:p>
      <w:pPr>
        <w:framePr w:w="8640" w:x="1800" w:y="449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外汇套期保值业务均以正常进出口业务为基础，但外汇套期保值业务仍存在一定</w:t>
      </w:r>
    </w:p>
    <w:p>
      <w:pPr>
        <w:framePr w:w="8640" w:x="1800" w:y="4499"/>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的风险：</w:t>
      </w:r>
    </w:p>
    <w:p>
      <w:pPr>
        <w:framePr w:w="8547" w:x="1800" w:y="606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（一）汇率波动风险：在外汇汇率波动较大时，公司判断的汇率波动方向与</w:t>
      </w:r>
    </w:p>
    <w:p>
      <w:pPr>
        <w:framePr w:w="8547" w:x="1800" w:y="606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外汇套期保值合约方向不一致时，将会产生损失。</w:t>
      </w:r>
    </w:p>
    <w:p>
      <w:pPr>
        <w:framePr w:w="8544" w:x="1800" w:y="7152"/>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（二）内部控制风险：外汇套期保值业务专业性较强，复杂程度较高，可能</w:t>
      </w:r>
    </w:p>
    <w:p>
      <w:pPr>
        <w:framePr w:w="8544" w:x="1800" w:y="7152"/>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会由于内控制度不完善而造成风险。</w:t>
      </w:r>
    </w:p>
    <w:p>
      <w:pPr>
        <w:framePr w:w="8640" w:x="1800" w:y="824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（三）客户违约风险：客户应收账款发生逾期、客户调整订单等情况将使货</w:t>
      </w:r>
    </w:p>
    <w:p>
      <w:pPr>
        <w:framePr w:w="8640" w:x="1800" w:y="824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款实际回款情况与预期回款情况不一致，会导致公司远期结售汇无法交割而出现</w:t>
      </w:r>
    </w:p>
    <w:p>
      <w:pPr>
        <w:framePr w:w="8640" w:x="1800" w:y="824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损失。</w:t>
      </w:r>
    </w:p>
    <w:p>
      <w:pPr>
        <w:framePr w:w="8546" w:x="1800" w:y="980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（四）法律风险：因相关法律发生变化或交易对手违反法律制度造成外汇合</w:t>
      </w:r>
    </w:p>
    <w:p>
      <w:pPr>
        <w:framePr w:w="8546" w:x="1800" w:y="980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约无法正常执行而导致损失。</w:t>
      </w:r>
    </w:p>
    <w:p>
      <w:pPr>
        <w:framePr w:w="2166" w:x="2280" w:y="1089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四、风险控制措施</w:t>
      </w:r>
    </w:p>
    <w:p>
      <w:pPr>
        <w:framePr w:w="8640" w:x="1800" w:y="1152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（一）为避免汇率大幅波动风险，公司成立汇率监控委员会，负责外汇套期</w:t>
      </w:r>
    </w:p>
    <w:p>
      <w:pPr>
        <w:framePr w:w="8640" w:x="1800" w:y="115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保值业务的具体操作。监控委员会在选择套期保值产品时，选择违约风险低、风</w:t>
      </w:r>
    </w:p>
    <w:p>
      <w:pPr>
        <w:framePr w:w="8640" w:x="1800" w:y="11520"/>
        <w:widowControl w:val="0"/>
        <w:autoSpaceDE w:val="0"/>
        <w:autoSpaceDN w:val="0"/>
        <w:spacing w:before="229"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险可控、以规避风险为目的简单产品，交易操作后，实时关注市场变动，如发生</w:t>
      </w:r>
    </w:p>
    <w:p>
      <w:pPr>
        <w:framePr w:w="8640" w:x="1800" w:y="1152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重大变化，及时上报，积极应对，妥善处理。</w:t>
      </w:r>
    </w:p>
    <w:p>
      <w:pPr>
        <w:framePr w:w="8640" w:x="1800" w:y="13549"/>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（二）公司制定《外汇套期保值业务管理制度》，对公司外汇套期保值业务</w:t>
      </w:r>
    </w:p>
    <w:p>
      <w:pPr>
        <w:framePr w:w="8640" w:x="1800"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操作原则、审批权限、部门职责及内部操作流程、保密制度、信息披露制度等做</w:t>
      </w:r>
    </w:p>
    <w:p>
      <w:pPr>
        <w:framePr w:w="8640" w:x="1800" w:y="13549"/>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出了明确规定，有效规范套期保值业务行为。</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640" w:x="1800" w:y="153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公司外汇交易行为均以具体经营业务为依托，以套期保值为手段，以规避和</w:t>
      </w:r>
    </w:p>
    <w:p>
      <w:pPr>
        <w:framePr w:w="864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防范汇率风险为目的，不进行单纯以盈利为目的的外汇交易，并严格按照《外汇</w:t>
      </w:r>
    </w:p>
    <w:p>
      <w:pPr>
        <w:framePr w:w="8640" w:x="1800" w:y="153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套期保值业务管理制度》的规定进行业务操作，有效地保证制度的执行。</w:t>
      </w:r>
    </w:p>
    <w:p>
      <w:pPr>
        <w:framePr w:w="8640" w:x="1800" w:y="3095"/>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（三）为防止外汇套期保值延期交割，公司将严格按照客户回款计划，控制</w:t>
      </w:r>
    </w:p>
    <w:p>
      <w:pPr>
        <w:framePr w:w="8640" w:x="1800" w:y="309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外汇资金总量及结售汇时间。外汇套期保值业务锁定金额和时间原则上应与外币</w:t>
      </w:r>
    </w:p>
    <w:p>
      <w:pPr>
        <w:framePr w:w="8640" w:x="1800" w:y="309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货款回笼金额和时间相匹配。同时公司将高度重视外币应收账款管理，避免出现</w:t>
      </w:r>
    </w:p>
    <w:p>
      <w:pPr>
        <w:framePr w:w="8640" w:x="1800" w:y="3095"/>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应收账款逾期的现象。</w:t>
      </w:r>
    </w:p>
    <w:p>
      <w:pPr>
        <w:framePr w:w="8545" w:x="1800" w:y="5124"/>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（四）公司审计部门不定期对外汇套期保值业务的实际操作情况、资金使用</w:t>
      </w:r>
    </w:p>
    <w:p>
      <w:pPr>
        <w:framePr w:w="8545" w:x="1800" w:y="51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情况及盈亏情况进行审查。</w:t>
      </w:r>
    </w:p>
    <w:p>
      <w:pPr>
        <w:framePr w:w="4817" w:x="2273" w:y="6216"/>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五、开展外汇套期保值业务的会计核算原则</w:t>
      </w:r>
    </w:p>
    <w:p>
      <w:pPr>
        <w:framePr w:w="8640" w:x="1800" w:y="6840"/>
        <w:widowControl w:val="0"/>
        <w:autoSpaceDE w:val="0"/>
        <w:autoSpaceDN w:val="0"/>
        <w:spacing w:line="240" w:lineRule="exact"/>
        <w:ind w:left="480"/>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公司根据《企业会计准则第</w:t>
      </w:r>
      <w:r>
        <w:rPr>
          <w:rFonts w:ascii="SimSun" w:eastAsiaTheme="minorEastAsia" w:hAnsiTheme="minorHAnsi" w:cstheme="minorBidi"/>
          <w:color w:val="000000"/>
          <w:szCs w:val="22"/>
          <w:lang w:val="en-US" w:eastAsia="en-US" w:bidi="ar-SA"/>
        </w:rPr>
        <w:t>22</w:t>
      </w:r>
      <w:r>
        <w:rPr>
          <w:rFonts w:ascii="SimSun" w:hAnsi="SimSun" w:eastAsiaTheme="minorEastAsia" w:cs="SimSun"/>
          <w:color w:val="000000"/>
          <w:spacing w:val="-3"/>
          <w:szCs w:val="22"/>
          <w:lang w:val="en-US" w:eastAsia="en-US" w:bidi="ar-SA"/>
        </w:rPr>
        <w:t>号——金融工具确认和计量》《企业会计准则</w:t>
      </w:r>
    </w:p>
    <w:p>
      <w:pPr>
        <w:framePr w:w="8640" w:x="1800" w:y="68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第</w:t>
      </w:r>
      <w:r>
        <w:rPr>
          <w:rFonts w:ascii="SimSun" w:eastAsiaTheme="minorEastAsia" w:hAnsiTheme="minorHAnsi" w:cstheme="minorBidi"/>
          <w:color w:val="000000"/>
          <w:szCs w:val="22"/>
          <w:lang w:val="en-US" w:eastAsia="en-US" w:bidi="ar-SA"/>
        </w:rPr>
        <w:t>24</w:t>
      </w:r>
      <w:r>
        <w:rPr>
          <w:rFonts w:ascii="SimSun" w:hAnsi="SimSun" w:eastAsiaTheme="minorEastAsia" w:cs="SimSun"/>
          <w:color w:val="000000"/>
          <w:spacing w:val="-4"/>
          <w:szCs w:val="22"/>
          <w:lang w:val="en-US" w:eastAsia="en-US" w:bidi="ar-SA"/>
        </w:rPr>
        <w:t>号——套期会计》《企业会计准则第</w:t>
      </w:r>
      <w:r>
        <w:rPr>
          <w:rFonts w:ascii="SimSun" w:eastAsiaTheme="minorEastAsia" w:hAnsiTheme="minorHAnsi" w:cstheme="minorBidi"/>
          <w:color w:val="000000"/>
          <w:szCs w:val="22"/>
          <w:lang w:val="en-US" w:eastAsia="en-US" w:bidi="ar-SA"/>
        </w:rPr>
        <w:t>37</w:t>
      </w:r>
      <w:r>
        <w:rPr>
          <w:rFonts w:ascii="SimSun" w:hAnsi="SimSun" w:eastAsiaTheme="minorEastAsia" w:cs="SimSun"/>
          <w:color w:val="000000"/>
          <w:spacing w:val="-2"/>
          <w:szCs w:val="22"/>
          <w:lang w:val="en-US" w:eastAsia="en-US" w:bidi="ar-SA"/>
        </w:rPr>
        <w:t>号——金融工具列报》等相关规定及</w:t>
      </w:r>
    </w:p>
    <w:p>
      <w:pPr>
        <w:framePr w:w="8640" w:x="1800" w:y="6840"/>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其指南，对外汇套期保值业务进行相应核算和披露。</w:t>
      </w:r>
    </w:p>
    <w:p>
      <w:pPr>
        <w:framePr w:w="2167" w:x="2280" w:y="8400"/>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六、独立董事意见</w:t>
      </w:r>
    </w:p>
    <w:p>
      <w:pPr>
        <w:framePr w:w="8880" w:x="1800" w:y="9024"/>
        <w:widowControl w:val="0"/>
        <w:autoSpaceDE w:val="0"/>
        <w:autoSpaceDN w:val="0"/>
        <w:spacing w:line="240" w:lineRule="exact"/>
        <w:ind w:left="588"/>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经认真核查，公司独立董事一致认为：公司及子公司开展外汇套期保值业</w:t>
      </w:r>
    </w:p>
    <w:p>
      <w:pPr>
        <w:framePr w:w="8880" w:x="1800"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务以具体经营业务为依托，以规避和防范汇率风险为目的，在保证正常生产经营</w:t>
      </w:r>
    </w:p>
    <w:p>
      <w:pPr>
        <w:framePr w:w="8880" w:x="1800"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的前提下，运用外汇套期保值工具降低汇率大幅波动对公司经营造成的不利影响，</w:t>
      </w:r>
    </w:p>
    <w:p>
      <w:pPr>
        <w:framePr w:w="8880" w:x="1800"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不存在损害公司和全体股东利益的情形。同时，公司已建立了较为完善的外汇套</w:t>
      </w:r>
    </w:p>
    <w:p>
      <w:pPr>
        <w:framePr w:w="8880" w:x="1800"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期保值业务内控和风险管理制度，公司采取的针对性风险控制措施是可行有效的，</w:t>
      </w:r>
    </w:p>
    <w:p>
      <w:pPr>
        <w:framePr w:w="8880" w:x="1800"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相关审批程序符合国家相关法律、法规及《公司章程》的有关规定。因此我们同</w:t>
      </w:r>
    </w:p>
    <w:p>
      <w:pPr>
        <w:framePr w:w="8880" w:x="1800" w:y="9024"/>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意公司按照相关制度的规定开展外汇套期保值业务。</w:t>
      </w:r>
    </w:p>
    <w:p>
      <w:pPr>
        <w:framePr w:w="1927" w:x="2280" w:y="1245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七、监事会意见</w:t>
      </w:r>
    </w:p>
    <w:p>
      <w:pPr>
        <w:framePr w:w="8662" w:x="1800" w:y="13081"/>
        <w:widowControl w:val="0"/>
        <w:autoSpaceDE w:val="0"/>
        <w:autoSpaceDN w:val="0"/>
        <w:spacing w:line="240" w:lineRule="exact"/>
        <w:ind w:left="588"/>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经认真核实，公司监事会全体成员一致认为：公司及其子公司开展外汇套</w:t>
      </w:r>
    </w:p>
    <w:p>
      <w:pPr>
        <w:framePr w:w="8662" w:x="1800" w:y="1308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期保值业务是为了规避和防范汇率波动对公司经营造成的不利影响，有利于控制</w:t>
      </w:r>
    </w:p>
    <w:p>
      <w:pPr>
        <w:framePr w:w="8662" w:x="1800" w:y="1308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1"/>
          <w:szCs w:val="22"/>
          <w:lang w:val="en-US" w:eastAsia="en-US" w:bidi="ar-SA"/>
        </w:rPr>
        <w:t>汇率风险，符合公司业务发展需要，相关决策程序符合有关法律、法规的规定，</w:t>
      </w:r>
    </w:p>
    <w:p>
      <w:pPr>
        <w:framePr w:w="8662" w:x="1800" w:y="1308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pacing w:val="-3"/>
          <w:szCs w:val="22"/>
          <w:lang w:val="en-US" w:eastAsia="en-US" w:bidi="ar-SA"/>
        </w:rPr>
        <w:t>不存在损害公司及全体股东利益的情形。因此我们同意公司按照相关制度的规定</w:t>
      </w:r>
    </w:p>
    <w:p>
      <w:pPr>
        <w:framePr w:w="8662" w:x="1800" w:y="13081"/>
        <w:widowControl w:val="0"/>
        <w:autoSpaceDE w:val="0"/>
        <w:autoSpaceDN w:val="0"/>
        <w:spacing w:before="228"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开展外汇套期保值业务。</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440" w:x="2280" w:y="1535"/>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特此公告。</w:t>
      </w:r>
    </w:p>
    <w:p>
      <w:pPr>
        <w:framePr w:w="3840" w:x="6508" w:y="2783"/>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hAnsi="SimSun" w:eastAsiaTheme="minorEastAsia" w:cs="SimSun"/>
          <w:color w:val="000000"/>
          <w:szCs w:val="22"/>
          <w:lang w:val="en-US" w:eastAsia="en-US" w:bidi="ar-SA"/>
        </w:rPr>
        <w:t>山东先达农化股份有限公司董事会</w:t>
      </w:r>
    </w:p>
    <w:p>
      <w:pPr>
        <w:framePr w:w="1801" w:x="7561" w:y="3407"/>
        <w:widowControl w:val="0"/>
        <w:autoSpaceDE w:val="0"/>
        <w:autoSpaceDN w:val="0"/>
        <w:spacing w:line="240" w:lineRule="exact"/>
        <w:rPr>
          <w:rFonts w:eastAsiaTheme="minorEastAsia" w:hAnsiTheme="minorHAnsi" w:cstheme="minorBidi"/>
          <w:color w:val="000000"/>
          <w:szCs w:val="22"/>
          <w:lang w:val="en-US" w:eastAsia="en-US" w:bidi="ar-SA"/>
        </w:rPr>
      </w:pPr>
      <w:r>
        <w:rPr>
          <w:rFonts w:ascii="SimSun" w:eastAsiaTheme="minorEastAsia" w:hAnsiTheme="minorHAnsi" w:cstheme="minorBidi"/>
          <w:color w:val="000000"/>
          <w:szCs w:val="22"/>
          <w:lang w:val="en-US" w:eastAsia="en-US" w:bidi="ar-SA"/>
        </w:rPr>
        <w:t>2021</w:t>
      </w:r>
      <w:r>
        <w:rPr>
          <w:rFonts w:ascii="SimSun" w:hAnsi="SimSun" w:eastAsiaTheme="minorEastAsia" w:cs="SimSun"/>
          <w:color w:val="000000"/>
          <w:szCs w:val="22"/>
          <w:lang w:val="en-US" w:eastAsia="en-US" w:bidi="ar-SA"/>
        </w:rPr>
        <w:t>年</w:t>
      </w:r>
      <w:r>
        <w:rPr>
          <w:rFonts w:ascii="SimSun" w:eastAsiaTheme="minorEastAsia" w:hAnsiTheme="minorHAnsi" w:cstheme="minorBidi"/>
          <w:color w:val="000000"/>
          <w:szCs w:val="22"/>
          <w:lang w:val="en-US" w:eastAsia="en-US" w:bidi="ar-SA"/>
        </w:rPr>
        <w:t>4</w:t>
      </w:r>
      <w:r>
        <w:rPr>
          <w:rFonts w:ascii="SimSun" w:hAnsi="SimSun" w:eastAsiaTheme="minorEastAsia" w:cs="SimSun"/>
          <w:color w:val="000000"/>
          <w:szCs w:val="22"/>
          <w:lang w:val="en-US" w:eastAsia="en-US" w:bidi="ar-SA"/>
        </w:rPr>
        <w:t>月</w:t>
      </w:r>
      <w:r>
        <w:rPr>
          <w:rFonts w:ascii="SimSun" w:eastAsiaTheme="minorEastAsia" w:hAnsiTheme="minorHAnsi" w:cstheme="minorBidi"/>
          <w:color w:val="000000"/>
          <w:szCs w:val="22"/>
          <w:lang w:val="en-US" w:eastAsia="en-US" w:bidi="ar-SA"/>
        </w:rPr>
        <w:t>27</w:t>
      </w:r>
      <w:r>
        <w:rPr>
          <w:rFonts w:ascii="SimSun" w:hAnsi="SimSun" w:eastAsiaTheme="minorEastAsia" w:cs="SimSun"/>
          <w:color w:val="000000"/>
          <w:szCs w:val="22"/>
          <w:lang w:val="en-US" w:eastAsia="en-US" w:bidi="ar-SA"/>
        </w:rPr>
        <w:t>日</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