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20.3 -->
  <w:body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</w:pPr>
      <w:bookmarkStart w:id="0" w:name="br1"/>
      <w:bookmarkEnd w:id="0"/>
      <w:r>
        <w:rPr>
          <w:rFonts w:ascii="Arial" w:hAnsi="Calibr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167" w:x="1800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证券代码：</w:t>
      </w:r>
      <w:r>
        <w:rPr>
          <w:rFonts w:hAnsi="Calibri"/>
          <w:b/>
          <w:color w:val="000000"/>
          <w:szCs w:val="22"/>
          <w:lang w:val="en-US" w:eastAsia="en-US" w:bidi="ar-SA"/>
        </w:rPr>
        <w:t>603086</w:t>
      </w:r>
    </w:p>
    <w:p>
      <w:pPr>
        <w:framePr w:w="2409" w:x="4688" w:y="15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证券简称：先达股份</w:t>
      </w:r>
    </w:p>
    <w:p>
      <w:pPr>
        <w:framePr w:w="2413" w:x="7941" w:y="1527"/>
        <w:widowControl w:val="0"/>
        <w:autoSpaceDE w:val="0"/>
        <w:autoSpaceDN w:val="0"/>
        <w:spacing w:line="266" w:lineRule="exact"/>
        <w:rPr>
          <w:rFonts w:hAnsi="Calibri"/>
          <w:b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2"/>
          <w:szCs w:val="22"/>
          <w:lang w:val="en-US" w:eastAsia="en-US" w:bidi="ar-SA"/>
        </w:rPr>
        <w:t>公告编号：</w:t>
      </w:r>
      <w:r>
        <w:rPr>
          <w:rFonts w:hAnsi="Calibri"/>
          <w:b/>
          <w:color w:val="000000"/>
          <w:szCs w:val="22"/>
          <w:lang w:val="en-US" w:eastAsia="en-US" w:bidi="ar-SA"/>
        </w:rPr>
        <w:t>2021</w:t>
      </w:r>
      <w:r>
        <w:rPr>
          <w:rFonts w:ascii="SimSun" w:hAnsi="Calibri"/>
          <w:color w:val="000000"/>
          <w:spacing w:val="2"/>
          <w:szCs w:val="22"/>
          <w:lang w:val="en-US" w:eastAsia="en-US" w:bidi="ar-SA"/>
        </w:rPr>
        <w:t>-</w:t>
      </w:r>
      <w:r>
        <w:rPr>
          <w:rFonts w:hAnsi="Calibri"/>
          <w:b/>
          <w:color w:val="000000"/>
          <w:szCs w:val="22"/>
          <w:lang w:val="en-US" w:eastAsia="en-US" w:bidi="ar-SA"/>
        </w:rPr>
        <w:t>014</w:t>
      </w:r>
    </w:p>
    <w:p>
      <w:pPr>
        <w:framePr w:w="4093" w:x="4026" w:y="2196"/>
        <w:widowControl w:val="0"/>
        <w:autoSpaceDE w:val="0"/>
        <w:autoSpaceDN w:val="0"/>
        <w:spacing w:line="319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山东先达农化股份有限公司</w:t>
      </w:r>
    </w:p>
    <w:p>
      <w:pPr>
        <w:framePr w:w="8109" w:x="2019" w:y="2966"/>
        <w:widowControl w:val="0"/>
        <w:autoSpaceDE w:val="0"/>
        <w:autoSpaceDN w:val="0"/>
        <w:spacing w:line="353" w:lineRule="exact"/>
        <w:rPr>
          <w:rFonts w:hAnsi="Calibri"/>
          <w:color w:val="000000"/>
          <w:sz w:val="32"/>
          <w:szCs w:val="22"/>
          <w:lang w:val="en-US" w:eastAsia="en-US" w:bidi="ar-SA"/>
        </w:rPr>
      </w:pPr>
      <w:r>
        <w:rPr>
          <w:rFonts w:ascii="SimSun" w:hAnsi="SimSun" w:cs="SimSun"/>
          <w:color w:val="FF0000"/>
          <w:spacing w:val="2"/>
          <w:sz w:val="32"/>
          <w:szCs w:val="22"/>
          <w:lang w:val="en-US" w:eastAsia="en-US" w:bidi="ar-SA"/>
        </w:rPr>
        <w:t>关于</w:t>
      </w:r>
      <w:r>
        <w:rPr>
          <w:rFonts w:hAnsi="Calibri"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hAnsi="Calibri"/>
          <w:b/>
          <w:color w:val="FF0000"/>
          <w:spacing w:val="1"/>
          <w:sz w:val="32"/>
          <w:szCs w:val="22"/>
          <w:lang w:val="en-US" w:eastAsia="en-US" w:bidi="ar-SA"/>
        </w:rPr>
        <w:t>2020</w:t>
      </w:r>
      <w:r>
        <w:rPr>
          <w:rFonts w:hAnsi="Calibri"/>
          <w:b/>
          <w:color w:val="FF0000"/>
          <w:spacing w:val="-1"/>
          <w:sz w:val="32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FF0000"/>
          <w:spacing w:val="1"/>
          <w:sz w:val="32"/>
          <w:szCs w:val="22"/>
          <w:lang w:val="en-US" w:eastAsia="en-US" w:bidi="ar-SA"/>
        </w:rPr>
        <w:t>年度利润分配及资本公积金转增股本预案公告</w:t>
      </w:r>
    </w:p>
    <w:p>
      <w:pPr>
        <w:framePr w:w="8530" w:x="1908" w:y="388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本公司董事会及全体董事保证本公告内容不存在任何虚假记载、误导性陈述</w:t>
      </w:r>
    </w:p>
    <w:p>
      <w:pPr>
        <w:framePr w:w="8530" w:x="1908" w:y="388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或者重大遗漏，并对其内容的真实性、准确性和完整性承担个别及连带责任。</w:t>
      </w:r>
    </w:p>
    <w:p>
      <w:pPr>
        <w:framePr w:w="1926" w:x="2283" w:y="5299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重要内容提示：</w:t>
      </w:r>
    </w:p>
    <w:p>
      <w:pPr>
        <w:framePr w:w="8547" w:x="1800" w:y="6079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●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每股分配比例：</w:t>
      </w:r>
      <w:r>
        <w:rPr>
          <w:rFonts w:ascii="SimSun" w:hAnsi="Calibri"/>
          <w:color w:val="000000"/>
          <w:szCs w:val="22"/>
          <w:lang w:val="en-US" w:eastAsia="en-US" w:bidi="ar-SA"/>
        </w:rPr>
        <w:t>A</w:t>
      </w:r>
      <w:r>
        <w:rPr>
          <w:rFonts w:ascii="SimSun" w:hAnsi="Calibri"/>
          <w:color w:val="000000"/>
          <w:spacing w:val="-3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股每股派发现金红利</w:t>
      </w:r>
      <w:r>
        <w:rPr>
          <w:rFonts w:hAnsi="Calibri"/>
          <w:color w:val="000000"/>
          <w:spacing w:val="29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0.35</w:t>
      </w:r>
      <w:r>
        <w:rPr>
          <w:rFonts w:ascii="SimSun" w:hAnsi="Calibri"/>
          <w:color w:val="000000"/>
          <w:spacing w:val="-31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-10"/>
          <w:szCs w:val="22"/>
          <w:lang w:val="en-US" w:eastAsia="en-US" w:bidi="ar-SA"/>
        </w:rPr>
        <w:t>元（含税），每股以资本公</w:t>
      </w:r>
    </w:p>
    <w:p>
      <w:pPr>
        <w:framePr w:w="8547" w:x="1800" w:y="607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积金转增股本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0.4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股。</w:t>
      </w:r>
    </w:p>
    <w:p>
      <w:pPr>
        <w:framePr w:w="8546" w:x="1800" w:y="7327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●本次利润分配以实施权益分派股权登记日登记的总股本为基数，具体日期</w:t>
      </w:r>
    </w:p>
    <w:p>
      <w:pPr>
        <w:framePr w:w="8546" w:x="1800" w:y="7327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将在权益分派实施公告中明确。</w:t>
      </w:r>
    </w:p>
    <w:p>
      <w:pPr>
        <w:framePr w:w="8640" w:x="1800" w:y="8575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●</w:t>
      </w:r>
      <w:r>
        <w:rPr>
          <w:rFonts w:hAnsi="Calibri"/>
          <w:color w:val="000000"/>
          <w:spacing w:val="60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在实施权益分派的股权登记日前山东先达农化股份有限公司（以下简称</w:t>
      </w:r>
    </w:p>
    <w:p>
      <w:pPr>
        <w:framePr w:w="8640" w:x="1800" w:y="857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3"/>
          <w:szCs w:val="22"/>
          <w:lang w:val="en-US" w:eastAsia="en-US" w:bidi="ar-SA"/>
        </w:rPr>
        <w:t>“公司”）总股本发生变动的，拟维持每股分配及每股转增比例不变，相应调整</w:t>
      </w:r>
    </w:p>
    <w:p>
      <w:pPr>
        <w:framePr w:w="8640" w:x="1800" w:y="8575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分配及转增总额，并将另行公告具体调整情况。</w:t>
      </w:r>
    </w:p>
    <w:p>
      <w:pPr>
        <w:framePr w:w="2650" w:x="2283" w:y="10135"/>
        <w:widowControl w:val="0"/>
        <w:autoSpaceDE w:val="0"/>
        <w:autoSpaceDN w:val="0"/>
        <w:spacing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一、利润分配预案内容</w:t>
      </w:r>
    </w:p>
    <w:p>
      <w:pPr>
        <w:framePr w:w="8548" w:x="1800" w:y="10759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经大华会计师事务所（特殊普通合伙）审计，公司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年度实现归属于上</w:t>
      </w:r>
    </w:p>
    <w:p>
      <w:pPr>
        <w:framePr w:w="8548" w:x="1800" w:y="1075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市公司股东的净利润为人民币</w:t>
      </w:r>
      <w:r>
        <w:rPr>
          <w:rFonts w:hAnsi="Calibri"/>
          <w:color w:val="000000"/>
          <w:spacing w:val="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17,603.43</w:t>
      </w:r>
      <w:r>
        <w:rPr>
          <w:rFonts w:ascii="SimSun" w:hAnsi="SimSun" w:cs="SimSun"/>
          <w:color w:val="000000"/>
          <w:spacing w:val="1"/>
          <w:szCs w:val="22"/>
          <w:lang w:val="en-US" w:eastAsia="en-US" w:bidi="ar-SA"/>
        </w:rPr>
        <w:t>万元，截至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  <w:r>
        <w:rPr>
          <w:rFonts w:hAnsi="Calibri"/>
          <w:color w:val="000000"/>
          <w:spacing w:val="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pacing w:val="1"/>
          <w:szCs w:val="22"/>
          <w:lang w:val="en-US" w:eastAsia="en-US" w:bidi="ar-SA"/>
        </w:rPr>
        <w:t>31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日，公司</w:t>
      </w:r>
    </w:p>
    <w:p>
      <w:pPr>
        <w:framePr w:w="8548" w:x="1800" w:y="1075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累计可供股东分配的利润为人民币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104,047.82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万元。经公司第四届董事会第二</w:t>
      </w:r>
    </w:p>
    <w:p>
      <w:pPr>
        <w:framePr w:w="8548" w:x="1800" w:y="10759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次会议审议，公司</w:t>
      </w:r>
      <w:r>
        <w:rPr>
          <w:rFonts w:hAnsi="Calibr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Calibr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年度拟以实施权益分派股权登记日登记的总股本为基数</w:t>
      </w:r>
    </w:p>
    <w:p>
      <w:pPr>
        <w:framePr w:w="8548" w:x="1800" w:y="10759"/>
        <w:widowControl w:val="0"/>
        <w:autoSpaceDE w:val="0"/>
        <w:autoSpaceDN w:val="0"/>
        <w:spacing w:before="229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分配利润。本次利润分配及资本公积金转增股本预案如下：</w:t>
      </w:r>
    </w:p>
    <w:p>
      <w:pPr>
        <w:framePr w:w="8640" w:x="1800" w:y="13256"/>
        <w:widowControl w:val="0"/>
        <w:autoSpaceDE w:val="0"/>
        <w:autoSpaceDN w:val="0"/>
        <w:spacing w:line="240" w:lineRule="exact"/>
        <w:ind w:left="480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1.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公司拟向全体股东每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股派发现金红利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3.50</w:t>
      </w:r>
      <w:r>
        <w:rPr>
          <w:rFonts w:ascii="SimSun" w:hAnsi="SimSun" w:cs="SimSun"/>
          <w:color w:val="000000"/>
          <w:spacing w:val="-15"/>
          <w:szCs w:val="22"/>
          <w:lang w:val="en-US" w:eastAsia="en-US" w:bidi="ar-SA"/>
        </w:rPr>
        <w:t>元（含税）。截至</w:t>
      </w:r>
      <w:r>
        <w:rPr>
          <w:rFonts w:hAnsi="Calibri"/>
          <w:color w:val="000000"/>
          <w:spacing w:val="16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</w:t>
      </w:r>
    </w:p>
    <w:p>
      <w:pPr>
        <w:framePr w:w="8640" w:x="1800" w:y="13256"/>
        <w:widowControl w:val="0"/>
        <w:autoSpaceDE w:val="0"/>
        <w:autoSpaceDN w:val="0"/>
        <w:spacing w:before="228" w:line="240" w:lineRule="exact"/>
        <w:rPr>
          <w:rFonts w:ascii="SimSun" w:hAnsi="Calibri"/>
          <w:color w:val="000000"/>
          <w:szCs w:val="22"/>
          <w:lang w:val="en-US" w:eastAsia="en-US" w:bidi="ar-SA"/>
        </w:rPr>
      </w:pPr>
      <w:r>
        <w:rPr>
          <w:rFonts w:ascii="SimSun" w:hAnsi="Calibri"/>
          <w:color w:val="000000"/>
          <w:szCs w:val="22"/>
          <w:lang w:val="en-US" w:eastAsia="en-US" w:bidi="ar-SA"/>
        </w:rPr>
        <w:t>12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月</w:t>
      </w:r>
      <w:r>
        <w:rPr>
          <w:rFonts w:hAnsi="Calibri"/>
          <w:color w:val="000000"/>
          <w:spacing w:val="-17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31</w:t>
      </w:r>
      <w:r>
        <w:rPr>
          <w:rFonts w:ascii="SimSun" w:hAnsi="SimSun" w:cs="SimSun"/>
          <w:color w:val="000000"/>
          <w:spacing w:val="-17"/>
          <w:szCs w:val="22"/>
          <w:lang w:val="en-US" w:eastAsia="en-US" w:bidi="ar-SA"/>
        </w:rPr>
        <w:t>日，公司总股本</w:t>
      </w:r>
      <w:r>
        <w:rPr>
          <w:rFonts w:hAnsi="Calibr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158,490,000</w:t>
      </w:r>
      <w:r>
        <w:rPr>
          <w:rFonts w:ascii="SimSun" w:hAnsi="SimSun" w:cs="SimSun"/>
          <w:color w:val="000000"/>
          <w:spacing w:val="-8"/>
          <w:szCs w:val="22"/>
          <w:lang w:val="en-US" w:eastAsia="en-US" w:bidi="ar-SA"/>
        </w:rPr>
        <w:t>股，以此计算合计拟派发现金红利</w:t>
      </w:r>
      <w:r>
        <w:rPr>
          <w:rFonts w:hAnsi="Calibri"/>
          <w:color w:val="000000"/>
          <w:spacing w:val="-8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5,547.15</w:t>
      </w:r>
    </w:p>
    <w:p>
      <w:pPr>
        <w:framePr w:w="8640" w:x="1800" w:y="1325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pacing w:val="-11"/>
          <w:szCs w:val="22"/>
          <w:lang w:val="en-US" w:eastAsia="en-US" w:bidi="ar-SA"/>
        </w:rPr>
        <w:t>万元（含税）。本年度公司现金分红占公司</w:t>
      </w:r>
      <w:r>
        <w:rPr>
          <w:rFonts w:hAnsi="Calibr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2020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年度合并报表归属上市公司股东</w:t>
      </w:r>
    </w:p>
    <w:p>
      <w:pPr>
        <w:framePr w:w="8640" w:x="1800" w:y="13256"/>
        <w:widowControl w:val="0"/>
        <w:autoSpaceDE w:val="0"/>
        <w:autoSpaceDN w:val="0"/>
        <w:spacing w:before="228" w:line="240" w:lineRule="exact"/>
        <w:rPr>
          <w:rFonts w:hAnsi="Calibri"/>
          <w:color w:val="000000"/>
          <w:szCs w:val="22"/>
          <w:lang w:val="en-US" w:eastAsia="en-US" w:bidi="ar-SA"/>
        </w:rPr>
      </w:pPr>
      <w:r>
        <w:rPr>
          <w:rFonts w:ascii="SimSun" w:hAnsi="SimSun" w:cs="SimSun"/>
          <w:color w:val="000000"/>
          <w:szCs w:val="22"/>
          <w:lang w:val="en-US" w:eastAsia="en-US" w:bidi="ar-SA"/>
        </w:rPr>
        <w:t>净利润的</w:t>
      </w:r>
      <w:r>
        <w:rPr>
          <w:rFonts w:hAnsi="Calibri"/>
          <w:color w:val="000000"/>
          <w:szCs w:val="22"/>
          <w:lang w:val="en-US" w:eastAsia="en-US" w:bidi="ar-SA"/>
        </w:rPr>
        <w:t xml:space="preserve"> </w:t>
      </w:r>
      <w:r>
        <w:rPr>
          <w:rFonts w:ascii="SimSun" w:hAnsi="Calibri"/>
          <w:color w:val="000000"/>
          <w:szCs w:val="22"/>
          <w:lang w:val="en-US" w:eastAsia="en-US" w:bidi="ar-SA"/>
        </w:rPr>
        <w:t>31.51%</w:t>
      </w:r>
      <w:r>
        <w:rPr>
          <w:rFonts w:ascii="SimSun" w:hAnsi="SimSun" w:cs="SimSun"/>
          <w:color w:val="000000"/>
          <w:szCs w:val="22"/>
          <w:lang w:val="en-US" w:eastAsia="en-US" w:bidi="ar-SA"/>
        </w:rPr>
        <w:t>。</w:t>
      </w:r>
    </w:p>
    <w:p>
      <w:pPr>
        <w:spacing w:line="0" w:lineRule="atLeast"/>
        <w:rPr>
          <w:rFonts w:ascii="Arial" w:hAnsi="Calibr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5" type="#_x0000_t75" style="width:433.1pt;height:65.35pt;margin-top:179.3pt;margin-left:83.5pt;mso-position-horizontal-relative:page;mso-position-vertical-relative:page;position:absolute;z-index:-251658240">
            <v:imagedata r:id="rId4" o:title=""/>
          </v:shape>
        </w:pic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1" w:name="br1_0"/>
      <w:bookmarkEnd w:id="1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8666" w:x="1800" w:y="1535"/>
        <w:widowControl w:val="0"/>
        <w:autoSpaceDE w:val="0"/>
        <w:autoSpaceDN w:val="0"/>
        <w:spacing w:line="240" w:lineRule="exact"/>
        <w:ind w:left="480"/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2.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公司拟向全体股东每</w:t>
      </w:r>
      <w:r>
        <w:rPr>
          <w:rFonts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股以资本公积金转增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6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pacing w:val="-8"/>
          <w:szCs w:val="22"/>
          <w:lang w:val="en-US" w:eastAsia="en-US" w:bidi="ar-SA"/>
        </w:rPr>
        <w:t>股。截至</w:t>
      </w:r>
      <w:r>
        <w:rPr>
          <w:rFonts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12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31</w:t>
      </w:r>
    </w:p>
    <w:p>
      <w:pPr>
        <w:framePr w:w="8666" w:x="1800" w:y="153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日，公司总股本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158,490,000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股，本次转股后，公司总股本为</w:t>
      </w:r>
      <w:r>
        <w:rPr>
          <w:rFonts w:eastAsiaTheme="minorEastAsia" w:hAnsiTheme="minorHAnsi" w:cstheme="minorBidi"/>
          <w:color w:val="000000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2"/>
          <w:szCs w:val="22"/>
          <w:lang w:val="en-US" w:eastAsia="en-US" w:bidi="ar-SA"/>
        </w:rPr>
        <w:t>221,886,000</w:t>
      </w:r>
      <w:r>
        <w:rPr>
          <w:rFonts w:ascii="SimSun" w:hAnsi="SimSun" w:eastAsiaTheme="minorEastAsia" w:cs="SimSun"/>
          <w:color w:val="000000"/>
          <w:spacing w:val="2"/>
          <w:szCs w:val="22"/>
          <w:lang w:val="en-US" w:eastAsia="en-US" w:bidi="ar-SA"/>
        </w:rPr>
        <w:t>股。</w:t>
      </w:r>
    </w:p>
    <w:p>
      <w:pPr>
        <w:framePr w:w="8640" w:x="1800" w:y="2627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如在本公告披露之日起至实施权益分派股权登记日期间，公司总股本发生变</w:t>
      </w:r>
    </w:p>
    <w:p>
      <w:pPr>
        <w:framePr w:w="8640" w:x="1800" w:y="262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动的，公司拟维持每股分配及转增比例不变，相应调整分配及转增总额。如后续</w:t>
      </w:r>
    </w:p>
    <w:p>
      <w:pPr>
        <w:framePr w:w="8640" w:x="1800" w:y="2627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总股本发生变化，将另行公告具体调整情况。</w:t>
      </w:r>
    </w:p>
    <w:p>
      <w:pPr>
        <w:framePr w:w="8067" w:x="2280" w:y="418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本次利润分配及资本公积金转增股本预案尚需提交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年年度股东大会审</w:t>
      </w:r>
    </w:p>
    <w:p>
      <w:pPr>
        <w:framePr w:w="720" w:x="1800" w:y="465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议。</w:t>
      </w:r>
    </w:p>
    <w:p>
      <w:pPr>
        <w:framePr w:w="2891" w:x="2280" w:y="5280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二、公司履行的决策程序</w:t>
      </w:r>
    </w:p>
    <w:p>
      <w:pPr>
        <w:framePr w:w="2891" w:x="2280" w:y="5280"/>
        <w:widowControl w:val="0"/>
        <w:autoSpaceDE w:val="0"/>
        <w:autoSpaceDN w:val="0"/>
        <w:spacing w:before="384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（一）董事会审议情况</w:t>
      </w:r>
    </w:p>
    <w:p>
      <w:pPr>
        <w:framePr w:w="8548" w:x="1800" w:y="6528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公司于</w:t>
      </w:r>
      <w:r>
        <w:rPr>
          <w:rFonts w:eastAsiaTheme="minorEastAsia" w:hAnsiTheme="minorHAnsi" w:cstheme="minorBidi"/>
          <w:color w:val="000000"/>
          <w:spacing w:val="-1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eastAsiaTheme="minorEastAsia" w:hAnsiTheme="minorHAnsi" w:cstheme="minorBidi"/>
          <w:color w:val="000000"/>
          <w:spacing w:val="-14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43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月</w:t>
      </w:r>
      <w:r>
        <w:rPr>
          <w:rFonts w:eastAsiaTheme="minorEastAsia" w:hAnsiTheme="minorHAnsi" w:cstheme="minorBidi"/>
          <w:color w:val="000000"/>
          <w:spacing w:val="-17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pacing w:val="1"/>
          <w:szCs w:val="22"/>
          <w:lang w:val="en-US" w:eastAsia="en-US" w:bidi="ar-SA"/>
        </w:rPr>
        <w:t>26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日召开第四届董事会第二次会议和第四届监事会第二</w:t>
      </w:r>
    </w:p>
    <w:p>
      <w:pPr>
        <w:framePr w:w="8548" w:x="1800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次会议，分别审议通过了《关于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年度利润分配及资本公积金转增股本预案</w:t>
      </w:r>
    </w:p>
    <w:p>
      <w:pPr>
        <w:framePr w:w="8548" w:x="1800" w:y="6528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8"/>
          <w:szCs w:val="22"/>
          <w:lang w:val="en-US" w:eastAsia="en-US" w:bidi="ar-SA"/>
        </w:rPr>
        <w:t>的议案》，并同意将本议案提交公司</w:t>
      </w:r>
      <w:r>
        <w:rPr>
          <w:rFonts w:eastAsiaTheme="minorEastAsia" w:hAnsiTheme="minorHAnsi" w:cstheme="minorBidi"/>
          <w:color w:val="000000"/>
          <w:spacing w:val="8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年年度股东大会审议。</w:t>
      </w:r>
    </w:p>
    <w:p>
      <w:pPr>
        <w:framePr w:w="2400" w:x="2280" w:y="808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（二）独立董事意见</w:t>
      </w:r>
    </w:p>
    <w:p>
      <w:pPr>
        <w:framePr w:w="8640" w:x="1800" w:y="8712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年度利润分配及资本公积金转增股本预案是在充分考虑公司未来</w:t>
      </w:r>
    </w:p>
    <w:p>
      <w:pPr>
        <w:framePr w:w="8640" w:x="1800" w:y="871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发展计划及股东回报的情况下提出的合理分配预案，有效地兼顾了公司的可持续</w:t>
      </w:r>
    </w:p>
    <w:p>
      <w:pPr>
        <w:framePr w:w="8640" w:x="1800" w:y="871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发展与投资者的合理投资回报，有利于公司持续稳定发展，不存在损害公司股东</w:t>
      </w:r>
    </w:p>
    <w:p>
      <w:pPr>
        <w:framePr w:w="8640" w:x="1800" w:y="871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尤其是中小股东利益的情形。因此我们同意将该议案提交公司</w:t>
      </w:r>
      <w:r>
        <w:rPr>
          <w:rFonts w:eastAsiaTheme="minorEastAsia" w:hAnsiTheme="minorHAnsi" w:cstheme="minorBidi"/>
          <w:color w:val="000000"/>
          <w:spacing w:val="13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pacing w:val="-45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年度股东大</w:t>
      </w:r>
    </w:p>
    <w:p>
      <w:pPr>
        <w:framePr w:w="8640" w:x="1800" w:y="871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会审议。</w:t>
      </w:r>
    </w:p>
    <w:p>
      <w:pPr>
        <w:framePr w:w="2160" w:x="2280" w:y="11208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（三）监事会意见</w:t>
      </w:r>
    </w:p>
    <w:p>
      <w:pPr>
        <w:framePr w:w="8640" w:x="1800" w:y="11832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公司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pacing w:val="-48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年度利润分配及资本公积金转增股本预案符合相关法律、法规以</w:t>
      </w:r>
    </w:p>
    <w:p>
      <w:pPr>
        <w:framePr w:w="8640" w:x="1800" w:y="11832"/>
        <w:widowControl w:val="0"/>
        <w:autoSpaceDE w:val="0"/>
        <w:autoSpaceDN w:val="0"/>
        <w:spacing w:before="229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及《公司章程》的规定，并履行了相关决策程序。本预案充分考虑了公司的盈利</w:t>
      </w:r>
    </w:p>
    <w:p>
      <w:pPr>
        <w:framePr w:w="8640" w:x="1800" w:y="1183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水平、现金流量及未来资金需求等因素，同时兼顾了投资者的合理投资回报，不</w:t>
      </w:r>
    </w:p>
    <w:p>
      <w:pPr>
        <w:framePr w:w="8640" w:x="1800" w:y="11832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存在损害公司和全体股东尤其是中小股东利益的情形。</w:t>
      </w:r>
    </w:p>
    <w:p>
      <w:pPr>
        <w:framePr w:w="1685" w:x="2283" w:y="1386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四、风险提示</w:t>
      </w:r>
    </w:p>
    <w:p>
      <w:pPr>
        <w:framePr w:w="8662" w:x="1800" w:y="14485"/>
        <w:widowControl w:val="0"/>
        <w:autoSpaceDE w:val="0"/>
        <w:autoSpaceDN w:val="0"/>
        <w:spacing w:line="240" w:lineRule="exact"/>
        <w:ind w:left="480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（一）本次利润分配及资本公积金转增股本方案充分考虑了公司发展阶段、</w:t>
      </w:r>
    </w:p>
    <w:p>
      <w:pPr>
        <w:framePr w:w="8662" w:x="1800" w:y="14485"/>
        <w:widowControl w:val="0"/>
        <w:autoSpaceDE w:val="0"/>
        <w:autoSpaceDN w:val="0"/>
        <w:spacing w:before="228"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pacing w:val="-3"/>
          <w:szCs w:val="22"/>
          <w:lang w:val="en-US" w:eastAsia="en-US" w:bidi="ar-SA"/>
        </w:rPr>
        <w:t>未来的资金需求等因素，不会对公司经营现金流产生重大影响，不会影响公司正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sectPr>
          <w:pgSz w:w="11900" w:h="16820"/>
          <w:pgMar w:top="0" w:right="0" w:bottom="0" w:left="0" w:header="720" w:footer="720" w:gutter="0"/>
          <w:pgNumType w:start="1"/>
          <w:cols w:sep="0" w:space="720"/>
          <w:docGrid w:linePitch="1"/>
        </w:sect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  <w:bookmarkStart w:id="2" w:name="br1_1"/>
      <w:bookmarkEnd w:id="2"/>
      <w:r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  <w:t xml:space="preserve"> </w:t>
      </w:r>
    </w:p>
    <w:p>
      <w:pPr>
        <w:framePr w:w="2400" w:x="1800" w:y="153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常经营和长期发展。</w:t>
      </w:r>
    </w:p>
    <w:p>
      <w:pPr>
        <w:framePr w:w="8068" w:x="2280" w:y="2159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（二）本次利润分配及资本公积金转增股本方案尚需提交</w:t>
      </w:r>
      <w:r>
        <w:rPr>
          <w:rFonts w:eastAsiaTheme="minorEastAsia" w:hAnsiTheme="minorHAnsi" w:cstheme="minorBidi"/>
          <w:color w:val="000000"/>
          <w:spacing w:val="12"/>
          <w:szCs w:val="22"/>
          <w:lang w:val="en-US" w:eastAsia="en-US" w:bidi="ar-SA"/>
        </w:rPr>
        <w:t xml:space="preserve"> 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2020</w:t>
      </w:r>
      <w:r>
        <w:rPr>
          <w:rFonts w:ascii="SimSun" w:eastAsiaTheme="minorEastAsia" w:hAnsiTheme="minorHAnsi" w:cstheme="minorBidi"/>
          <w:color w:val="000000"/>
          <w:spacing w:val="-47"/>
          <w:szCs w:val="22"/>
          <w:lang w:val="en-US" w:eastAsia="en-US" w:bidi="ar-SA"/>
        </w:rPr>
        <w:t xml:space="preserve"> 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年年度股东</w:t>
      </w:r>
    </w:p>
    <w:p>
      <w:pPr>
        <w:framePr w:w="5280" w:x="1800" w:y="2627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大会审议批准，敬请广大投资者注意投资风险。</w:t>
      </w:r>
    </w:p>
    <w:p>
      <w:pPr>
        <w:framePr w:w="1440" w:x="2280" w:y="3251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特此公告。</w:t>
      </w:r>
    </w:p>
    <w:p>
      <w:pPr>
        <w:framePr w:w="3840" w:x="6508" w:y="3875"/>
        <w:widowControl w:val="0"/>
        <w:autoSpaceDE w:val="0"/>
        <w:autoSpaceDN w:val="0"/>
        <w:spacing w:line="240" w:lineRule="exact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山东先达农化股份有限公司董事会</w:t>
      </w:r>
    </w:p>
    <w:p>
      <w:pPr>
        <w:framePr w:w="3840" w:x="6508" w:y="3875"/>
        <w:widowControl w:val="0"/>
        <w:autoSpaceDE w:val="0"/>
        <w:autoSpaceDN w:val="0"/>
        <w:spacing w:before="384" w:line="240" w:lineRule="exact"/>
        <w:ind w:left="1306"/>
        <w:rPr>
          <w:rFonts w:eastAsiaTheme="minorEastAsia" w:hAnsiTheme="minorHAnsi" w:cstheme="minorBidi"/>
          <w:color w:val="000000"/>
          <w:szCs w:val="22"/>
          <w:lang w:val="en-US" w:eastAsia="en-US" w:bidi="ar-SA"/>
        </w:rPr>
      </w:pP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2021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年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4</w:t>
      </w:r>
      <w:r>
        <w:rPr>
          <w:rFonts w:ascii="SimSun" w:hAnsi="SimSun" w:eastAsiaTheme="minorEastAsia" w:cs="SimSun"/>
          <w:color w:val="000000"/>
          <w:spacing w:val="1"/>
          <w:szCs w:val="22"/>
          <w:lang w:val="en-US" w:eastAsia="en-US" w:bidi="ar-SA"/>
        </w:rPr>
        <w:t>月</w:t>
      </w:r>
      <w:r>
        <w:rPr>
          <w:rFonts w:ascii="SimSun" w:eastAsiaTheme="minorEastAsia" w:hAnsiTheme="minorHAnsi" w:cstheme="minorBidi"/>
          <w:color w:val="000000"/>
          <w:szCs w:val="22"/>
          <w:lang w:val="en-US" w:eastAsia="en-US" w:bidi="ar-SA"/>
        </w:rPr>
        <w:t>27</w:t>
      </w:r>
      <w:r>
        <w:rPr>
          <w:rFonts w:ascii="SimSun" w:hAnsi="SimSun" w:eastAsiaTheme="minorEastAsia" w:cs="SimSun"/>
          <w:color w:val="000000"/>
          <w:szCs w:val="22"/>
          <w:lang w:val="en-US" w:eastAsia="en-US" w:bidi="ar-SA"/>
        </w:rPr>
        <w:t>日</w:t>
      </w: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p>
      <w:pPr>
        <w:spacing w:line="0" w:lineRule="atLeast"/>
        <w:rPr>
          <w:rFonts w:ascii="Arial" w:eastAsiaTheme="minorEastAsia" w:hAnsiTheme="minorHAnsi" w:cstheme="minorBidi"/>
          <w:color w:val="FF0000"/>
          <w:sz w:val="2"/>
          <w:szCs w:val="22"/>
          <w:lang w:val="en-US" w:eastAsia="en-US" w:bidi="ar-SA"/>
        </w:rPr>
      </w:pPr>
    </w:p>
    <w:sectPr>
      <w:pgSz w:w="11900" w:h="16820"/>
      <w:pgMar w:top="0" w:right="0" w:bottom="0" w:left="0" w:header="720" w:footer="720" w:gutter="0"/>
      <w:pgNumType w:start="1"/>
      <w:cols w:sep="0" w:space="720"/>
      <w:docGrid w:linePitch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01010101" w:usb1="01010101" w:usb2="01010101" w:usb3="01010101" w:csb0="01010105" w:csb1="01010101"/>
  </w:font>
  <w:font w:name="Cambria Math">
    <w:panose1 w:val="02040503050406030204"/>
    <w:charset w:val="CC"/>
    <w:family w:val="roman"/>
    <w:pitch w:val="variable"/>
    <w:sig w:usb0="01010101" w:usb1="01010101" w:usb2="01010101" w:usb3="01010101" w:csb0="01010105" w:csb1="01010101"/>
  </w:font>
  <w:font w:name="SimSun">
    <w:panose1 w:val="00000000000000000000"/>
    <w:charset w:val="01"/>
    <w:family w:val="auto"/>
    <w:notTrueType/>
    <w:pitch w:val="default"/>
    <w:sig w:usb0="01010101" w:usb1="01010101" w:usb2="01010101" w:usb3="01010101" w:csb0="01010101" w:csb1="010101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0</TotalTime>
  <Pages>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