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2160" w:x="1800"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pacing w:val="1"/>
          <w:szCs w:val="22"/>
          <w:lang w:val="en-US" w:eastAsia="en-US" w:bidi="ar-SA"/>
        </w:rPr>
        <w:t>证券代码：</w:t>
      </w:r>
      <w:r>
        <w:rPr>
          <w:rFonts w:ascii="SimSun" w:hAnsi="Calibri"/>
          <w:color w:val="000000"/>
          <w:spacing w:val="1"/>
          <w:szCs w:val="22"/>
          <w:lang w:val="en-US" w:eastAsia="en-US" w:bidi="ar-SA"/>
        </w:rPr>
        <w:t>603086</w:t>
      </w:r>
    </w:p>
    <w:p>
      <w:pPr>
        <w:framePr w:w="2400" w:x="4851" w:y="1535"/>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9"/>
          <w:szCs w:val="22"/>
          <w:lang w:val="en-US" w:eastAsia="en-US" w:bidi="ar-SA"/>
        </w:rPr>
        <w:t>证券简称：先达股份</w:t>
      </w:r>
    </w:p>
    <w:p>
      <w:pPr>
        <w:framePr w:w="2400" w:x="8022"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zCs w:val="22"/>
          <w:lang w:val="en-US" w:eastAsia="en-US" w:bidi="ar-SA"/>
        </w:rPr>
        <w:t>公告编号：</w:t>
      </w:r>
      <w:r>
        <w:rPr>
          <w:rFonts w:ascii="SimSun" w:hAnsi="Calibri"/>
          <w:color w:val="000000"/>
          <w:spacing w:val="1"/>
          <w:szCs w:val="22"/>
          <w:lang w:val="en-US" w:eastAsia="en-US" w:bidi="ar-SA"/>
        </w:rPr>
        <w:t>2021-013</w:t>
      </w:r>
    </w:p>
    <w:p>
      <w:pPr>
        <w:framePr w:w="4093" w:x="4026" w:y="2172"/>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山东先达农化股份有限公司</w:t>
      </w:r>
    </w:p>
    <w:p>
      <w:pPr>
        <w:framePr w:w="5058" w:x="3543" w:y="2852"/>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第四届监事会第二次会议决议公告</w:t>
      </w:r>
    </w:p>
    <w:p>
      <w:pPr>
        <w:framePr w:w="8530" w:x="1908" w:y="376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本公司监事会及全体监事保证本公告内容不存在任何虚假记载、误导性陈述</w:t>
      </w:r>
    </w:p>
    <w:p>
      <w:pPr>
        <w:framePr w:w="8530" w:x="1908" w:y="37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或者重大遗漏，并对其内容的真实性、准确性和完整性承担个别及连带责任。</w:t>
      </w:r>
    </w:p>
    <w:p>
      <w:pPr>
        <w:framePr w:w="1926" w:x="2283" w:y="5020"/>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重要内容提示：</w:t>
      </w:r>
    </w:p>
    <w:p>
      <w:pPr>
        <w:framePr w:w="6000" w:x="2280" w:y="5644"/>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●公司全体监事出席了本次会议。</w:t>
      </w:r>
    </w:p>
    <w:p>
      <w:pPr>
        <w:framePr w:w="6000" w:x="2280" w:y="5644"/>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zCs w:val="22"/>
          <w:lang w:val="en-US" w:eastAsia="en-US" w:bidi="ar-SA"/>
        </w:rPr>
        <w:t>●本次监事会全部议案均获通过，无反对票、弃权票。</w:t>
      </w:r>
    </w:p>
    <w:p>
      <w:pPr>
        <w:framePr w:w="6000" w:x="2280" w:y="5644"/>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pacing w:val="1"/>
          <w:szCs w:val="22"/>
          <w:lang w:val="en-US" w:eastAsia="en-US" w:bidi="ar-SA"/>
        </w:rPr>
        <w:t>一、监事会会议召开情况</w:t>
      </w:r>
    </w:p>
    <w:p>
      <w:pPr>
        <w:framePr w:w="9120" w:x="1800" w:y="7516"/>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山东先达农化股份有限公司（以下简称“公司”）第四届监事会第二次会议</w:t>
      </w:r>
    </w:p>
    <w:p>
      <w:pPr>
        <w:framePr w:w="9120" w:x="1800" w:y="751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7"/>
          <w:szCs w:val="22"/>
          <w:lang w:val="en-US" w:eastAsia="en-US" w:bidi="ar-SA"/>
        </w:rPr>
        <w:t>（以下简称“本次监事会会议”）于</w:t>
      </w:r>
      <w:r>
        <w:rPr>
          <w:rFonts w:hAnsi="Calibri"/>
          <w:color w:val="000000"/>
          <w:spacing w:val="12"/>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pacing w:val="5"/>
          <w:szCs w:val="22"/>
          <w:lang w:val="en-US" w:eastAsia="en-US" w:bidi="ar-SA"/>
        </w:rPr>
        <w:t xml:space="preserve"> </w:t>
      </w:r>
      <w:r>
        <w:rPr>
          <w:rFonts w:ascii="SimSun" w:hAnsi="Calibri"/>
          <w:color w:val="000000"/>
          <w:spacing w:val="62"/>
          <w:szCs w:val="22"/>
          <w:lang w:val="en-US" w:eastAsia="en-US" w:bidi="ar-SA"/>
        </w:rPr>
        <w:t>4</w:t>
      </w:r>
      <w:r>
        <w:rPr>
          <w:rFonts w:ascii="SimSun" w:hAnsi="SimSun" w:cs="SimSun"/>
          <w:color w:val="000000"/>
          <w:szCs w:val="22"/>
          <w:lang w:val="en-US" w:eastAsia="en-US" w:bidi="ar-SA"/>
        </w:rPr>
        <w:t>月</w:t>
      </w:r>
      <w:r>
        <w:rPr>
          <w:rFonts w:hAnsi="Calibri"/>
          <w:color w:val="000000"/>
          <w:spacing w:val="5"/>
          <w:szCs w:val="22"/>
          <w:lang w:val="en-US" w:eastAsia="en-US" w:bidi="ar-SA"/>
        </w:rPr>
        <w:t xml:space="preserve"> </w:t>
      </w:r>
      <w:r>
        <w:rPr>
          <w:rFonts w:ascii="SimSun" w:hAnsi="Calibri"/>
          <w:color w:val="000000"/>
          <w:szCs w:val="22"/>
          <w:lang w:val="en-US" w:eastAsia="en-US" w:bidi="ar-SA"/>
        </w:rPr>
        <w:t>16</w:t>
      </w:r>
      <w:r>
        <w:rPr>
          <w:rFonts w:ascii="SimSun" w:hAnsi="SimSun" w:cs="SimSun"/>
          <w:color w:val="000000"/>
          <w:szCs w:val="22"/>
          <w:lang w:val="en-US" w:eastAsia="en-US" w:bidi="ar-SA"/>
        </w:rPr>
        <w:t>日以电话和邮件方式向全体</w:t>
      </w:r>
    </w:p>
    <w:p>
      <w:pPr>
        <w:framePr w:w="9120" w:x="1800" w:y="751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5"/>
          <w:szCs w:val="22"/>
          <w:lang w:val="en-US" w:eastAsia="en-US" w:bidi="ar-SA"/>
        </w:rPr>
        <w:t>监事发出会议通知。本次监事会会议于</w:t>
      </w:r>
      <w:r>
        <w:rPr>
          <w:rFonts w:hAnsi="Calibri"/>
          <w:color w:val="000000"/>
          <w:spacing w:val="5"/>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4</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26</w:t>
      </w:r>
      <w:r>
        <w:rPr>
          <w:rFonts w:ascii="SimSun" w:hAnsi="SimSun" w:cs="SimSun"/>
          <w:color w:val="000000"/>
          <w:szCs w:val="22"/>
          <w:lang w:val="en-US" w:eastAsia="en-US" w:bidi="ar-SA"/>
        </w:rPr>
        <w:t>日在公司会议室以现场方</w:t>
      </w:r>
    </w:p>
    <w:p>
      <w:pPr>
        <w:framePr w:w="9120" w:x="1800" w:y="751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2"/>
          <w:szCs w:val="22"/>
          <w:lang w:val="en-US" w:eastAsia="en-US" w:bidi="ar-SA"/>
        </w:rPr>
        <w:t>式召开。本次监事会会议应到监事</w:t>
      </w:r>
      <w:r>
        <w:rPr>
          <w:rFonts w:hAnsi="Calibri"/>
          <w:color w:val="000000"/>
          <w:spacing w:val="3"/>
          <w:szCs w:val="22"/>
          <w:lang w:val="en-US" w:eastAsia="en-US" w:bidi="ar-SA"/>
        </w:rPr>
        <w:t xml:space="preserve"> </w:t>
      </w:r>
      <w:r>
        <w:rPr>
          <w:rFonts w:ascii="SimSun" w:hAnsi="Calibri"/>
          <w:color w:val="000000"/>
          <w:spacing w:val="60"/>
          <w:szCs w:val="22"/>
          <w:lang w:val="en-US" w:eastAsia="en-US" w:bidi="ar-SA"/>
        </w:rPr>
        <w:t>3</w:t>
      </w:r>
      <w:r>
        <w:rPr>
          <w:rFonts w:ascii="SimSun" w:hAnsi="SimSun" w:cs="SimSun"/>
          <w:color w:val="000000"/>
          <w:spacing w:val="-5"/>
          <w:szCs w:val="22"/>
          <w:lang w:val="en-US" w:eastAsia="en-US" w:bidi="ar-SA"/>
        </w:rPr>
        <w:t>人，实到监事</w:t>
      </w:r>
      <w:r>
        <w:rPr>
          <w:rFonts w:hAnsi="Calibri"/>
          <w:color w:val="000000"/>
          <w:spacing w:val="6"/>
          <w:szCs w:val="22"/>
          <w:lang w:val="en-US" w:eastAsia="en-US" w:bidi="ar-SA"/>
        </w:rPr>
        <w:t xml:space="preserve"> </w:t>
      </w:r>
      <w:r>
        <w:rPr>
          <w:rFonts w:ascii="SimSun" w:hAnsi="Calibri"/>
          <w:color w:val="000000"/>
          <w:spacing w:val="60"/>
          <w:szCs w:val="22"/>
          <w:lang w:val="en-US" w:eastAsia="en-US" w:bidi="ar-SA"/>
        </w:rPr>
        <w:t>3</w:t>
      </w:r>
      <w:r>
        <w:rPr>
          <w:rFonts w:ascii="SimSun" w:hAnsi="SimSun" w:cs="SimSun"/>
          <w:color w:val="000000"/>
          <w:spacing w:val="-3"/>
          <w:szCs w:val="22"/>
          <w:lang w:val="en-US" w:eastAsia="en-US" w:bidi="ar-SA"/>
        </w:rPr>
        <w:t>人，会议由公司监事会主席</w:t>
      </w:r>
    </w:p>
    <w:p>
      <w:pPr>
        <w:framePr w:w="9120" w:x="1800" w:y="751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侯天法先生主持。本次监事会会议的召集、召开和表决程序符合《中华人民共和</w:t>
      </w:r>
    </w:p>
    <w:p>
      <w:pPr>
        <w:framePr w:w="9120" w:x="1800" w:y="751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16"/>
          <w:szCs w:val="22"/>
          <w:lang w:val="en-US" w:eastAsia="en-US" w:bidi="ar-SA"/>
        </w:rPr>
        <w:t>国公司法》（以下简称“《公司法》”）和《山东先达农化股份有限公司章程》（以</w:t>
      </w:r>
    </w:p>
    <w:p>
      <w:pPr>
        <w:framePr w:w="9120" w:x="1800" w:y="751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下简称“《公司章程》”）的有关规定，合法有效。</w:t>
      </w:r>
    </w:p>
    <w:p>
      <w:pPr>
        <w:framePr w:w="2889" w:x="2283" w:y="10949"/>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二、监事会会议审议情况</w:t>
      </w:r>
    </w:p>
    <w:p>
      <w:pPr>
        <w:framePr w:w="5670" w:x="2280" w:y="11573"/>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（一）审议通过《公司</w:t>
      </w:r>
      <w:r>
        <w:rPr>
          <w:rFonts w:hAnsi="Calibri"/>
          <w:color w:val="000000"/>
          <w:spacing w:val="1"/>
          <w:szCs w:val="22"/>
          <w:lang w:val="en-US" w:eastAsia="en-US" w:bidi="ar-SA"/>
        </w:rPr>
        <w:t xml:space="preserve"> </w:t>
      </w:r>
      <w:r>
        <w:rPr>
          <w:rFonts w:ascii="SimSun" w:hAnsi="Calibri"/>
          <w:color w:val="000000"/>
          <w:spacing w:val="1"/>
          <w:szCs w:val="22"/>
          <w:lang w:val="en-US" w:eastAsia="en-US" w:bidi="ar-SA"/>
        </w:rPr>
        <w:t>2020</w:t>
      </w:r>
      <w:r>
        <w:rPr>
          <w:rFonts w:ascii="SimSun" w:hAnsi="SimSun" w:cs="SimSun"/>
          <w:color w:val="000000"/>
          <w:spacing w:val="1"/>
          <w:szCs w:val="22"/>
          <w:lang w:val="en-US" w:eastAsia="en-US" w:bidi="ar-SA"/>
        </w:rPr>
        <w:t>年度监事会工作报告》</w:t>
      </w:r>
    </w:p>
    <w:p>
      <w:pPr>
        <w:framePr w:w="5670" w:x="2280" w:y="11573"/>
        <w:widowControl w:val="0"/>
        <w:autoSpaceDE w:val="0"/>
        <w:autoSpaceDN w:val="0"/>
        <w:spacing w:before="384" w:line="240" w:lineRule="exact"/>
        <w:rPr>
          <w:rFonts w:hAnsi="Calibri"/>
          <w:color w:val="000000"/>
          <w:szCs w:val="22"/>
          <w:lang w:val="en-US" w:eastAsia="en-US" w:bidi="ar-SA"/>
        </w:rPr>
      </w:pPr>
      <w:r>
        <w:rPr>
          <w:rFonts w:ascii="SimSun" w:hAnsi="SimSun" w:cs="SimSun"/>
          <w:color w:val="000000"/>
          <w:szCs w:val="22"/>
          <w:lang w:val="en-US" w:eastAsia="en-US" w:bidi="ar-SA"/>
        </w:rPr>
        <w:t>表决结果：</w:t>
      </w:r>
      <w:r>
        <w:rPr>
          <w:rFonts w:ascii="SimSun" w:hAnsi="Calibri"/>
          <w:color w:val="000000"/>
          <w:spacing w:val="60"/>
          <w:szCs w:val="22"/>
          <w:lang w:val="en-US" w:eastAsia="en-US" w:bidi="ar-SA"/>
        </w:rPr>
        <w:t>3</w:t>
      </w:r>
      <w:r>
        <w:rPr>
          <w:rFonts w:ascii="SimSun" w:hAnsi="SimSun" w:cs="SimSun"/>
          <w:color w:val="000000"/>
          <w:szCs w:val="22"/>
          <w:lang w:val="en-US" w:eastAsia="en-US" w:bidi="ar-SA"/>
        </w:rPr>
        <w:t>票同意，</w:t>
      </w:r>
      <w:r>
        <w:rPr>
          <w:rFonts w:ascii="SimSun" w:hAnsi="Calibri"/>
          <w:color w:val="000000"/>
          <w:spacing w:val="60"/>
          <w:szCs w:val="22"/>
          <w:lang w:val="en-US" w:eastAsia="en-US" w:bidi="ar-SA"/>
        </w:rPr>
        <w:t>0</w:t>
      </w:r>
      <w:r>
        <w:rPr>
          <w:rFonts w:ascii="SimSun" w:hAnsi="SimSun" w:cs="SimSun"/>
          <w:color w:val="000000"/>
          <w:szCs w:val="22"/>
          <w:lang w:val="en-US" w:eastAsia="en-US" w:bidi="ar-SA"/>
        </w:rPr>
        <w:t>票反对，</w:t>
      </w:r>
      <w:r>
        <w:rPr>
          <w:rFonts w:ascii="SimSun" w:hAnsi="Calibri"/>
          <w:color w:val="000000"/>
          <w:spacing w:val="60"/>
          <w:szCs w:val="22"/>
          <w:lang w:val="en-US" w:eastAsia="en-US" w:bidi="ar-SA"/>
        </w:rPr>
        <w:t>0</w:t>
      </w:r>
      <w:r>
        <w:rPr>
          <w:rFonts w:ascii="SimSun" w:hAnsi="SimSun" w:cs="SimSun"/>
          <w:color w:val="000000"/>
          <w:szCs w:val="22"/>
          <w:lang w:val="en-US" w:eastAsia="en-US" w:bidi="ar-SA"/>
        </w:rPr>
        <w:t>票弃权。</w:t>
      </w:r>
    </w:p>
    <w:p>
      <w:pPr>
        <w:framePr w:w="5670" w:x="2280" w:y="11573"/>
        <w:widowControl w:val="0"/>
        <w:autoSpaceDE w:val="0"/>
        <w:autoSpaceDN w:val="0"/>
        <w:spacing w:before="385" w:line="240" w:lineRule="exact"/>
        <w:rPr>
          <w:rFonts w:hAnsi="Calibri"/>
          <w:color w:val="000000"/>
          <w:szCs w:val="22"/>
          <w:lang w:val="en-US" w:eastAsia="en-US" w:bidi="ar-SA"/>
        </w:rPr>
      </w:pPr>
      <w:r>
        <w:rPr>
          <w:rFonts w:ascii="SimSun" w:hAnsi="SimSun" w:cs="SimSun"/>
          <w:color w:val="000000"/>
          <w:szCs w:val="22"/>
          <w:lang w:val="en-US" w:eastAsia="en-US" w:bidi="ar-SA"/>
        </w:rPr>
        <w:t>本议案需提交股东大会审议。</w:t>
      </w:r>
    </w:p>
    <w:p>
      <w:pPr>
        <w:framePr w:w="6390" w:x="2283" w:y="13445"/>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（二）审议通过《关于</w:t>
      </w:r>
      <w:r>
        <w:rPr>
          <w:rFonts w:hAnsi="Calibri"/>
          <w:color w:val="000000"/>
          <w:spacing w:val="1"/>
          <w:szCs w:val="22"/>
          <w:lang w:val="en-US" w:eastAsia="en-US" w:bidi="ar-SA"/>
        </w:rPr>
        <w:t xml:space="preserve"> </w:t>
      </w:r>
      <w:r>
        <w:rPr>
          <w:rFonts w:ascii="SimSun" w:hAnsi="Calibri"/>
          <w:color w:val="000000"/>
          <w:spacing w:val="1"/>
          <w:szCs w:val="22"/>
          <w:lang w:val="en-US" w:eastAsia="en-US" w:bidi="ar-SA"/>
        </w:rPr>
        <w:t>2020</w:t>
      </w:r>
      <w:r>
        <w:rPr>
          <w:rFonts w:ascii="SimSun" w:hAnsi="SimSun" w:cs="SimSun"/>
          <w:color w:val="000000"/>
          <w:spacing w:val="1"/>
          <w:szCs w:val="22"/>
          <w:lang w:val="en-US" w:eastAsia="en-US" w:bidi="ar-SA"/>
        </w:rPr>
        <w:t>年年度报告及其摘要的议案》</w:t>
      </w:r>
    </w:p>
    <w:p>
      <w:pPr>
        <w:framePr w:w="8546" w:x="1800" w:y="14069"/>
        <w:widowControl w:val="0"/>
        <w:autoSpaceDE w:val="0"/>
        <w:autoSpaceDN w:val="0"/>
        <w:spacing w:line="240" w:lineRule="exact"/>
        <w:ind w:left="480"/>
        <w:rPr>
          <w:rFonts w:ascii="SimSun" w:hAnsi="Calibri"/>
          <w:color w:val="000000"/>
          <w:szCs w:val="22"/>
          <w:lang w:val="en-US" w:eastAsia="en-US" w:bidi="ar-SA"/>
        </w:rPr>
      </w:pPr>
      <w:r>
        <w:rPr>
          <w:rFonts w:ascii="SimSun" w:hAnsi="Calibri"/>
          <w:color w:val="000000"/>
          <w:szCs w:val="22"/>
          <w:lang w:val="en-US" w:eastAsia="en-US" w:bidi="ar-SA"/>
        </w:rPr>
        <w:t>2020</w:t>
      </w:r>
      <w:r>
        <w:rPr>
          <w:rFonts w:ascii="SimSun" w:hAnsi="Calibri"/>
          <w:color w:val="000000"/>
          <w:spacing w:val="-36"/>
          <w:szCs w:val="22"/>
          <w:lang w:val="en-US" w:eastAsia="en-US" w:bidi="ar-SA"/>
        </w:rPr>
        <w:t xml:space="preserve"> </w:t>
      </w:r>
      <w:r>
        <w:rPr>
          <w:rFonts w:ascii="SimSun" w:hAnsi="SimSun" w:cs="SimSun"/>
          <w:color w:val="000000"/>
          <w:szCs w:val="22"/>
          <w:lang w:val="en-US" w:eastAsia="en-US" w:bidi="ar-SA"/>
        </w:rPr>
        <w:t>年</w:t>
      </w:r>
      <w:r>
        <w:rPr>
          <w:rFonts w:hAnsi="Calibri"/>
          <w:color w:val="000000"/>
          <w:spacing w:val="24"/>
          <w:szCs w:val="22"/>
          <w:lang w:val="en-US" w:eastAsia="en-US" w:bidi="ar-SA"/>
        </w:rPr>
        <w:t xml:space="preserve"> </w:t>
      </w:r>
      <w:r>
        <w:rPr>
          <w:rFonts w:ascii="SimSun" w:hAnsi="Calibri"/>
          <w:color w:val="000000"/>
          <w:szCs w:val="22"/>
          <w:lang w:val="en-US" w:eastAsia="en-US" w:bidi="ar-SA"/>
        </w:rPr>
        <w:t>1-12</w:t>
      </w:r>
      <w:r>
        <w:rPr>
          <w:rFonts w:ascii="SimSun" w:hAnsi="Calibri"/>
          <w:color w:val="000000"/>
          <w:spacing w:val="-36"/>
          <w:szCs w:val="22"/>
          <w:lang w:val="en-US" w:eastAsia="en-US" w:bidi="ar-SA"/>
        </w:rPr>
        <w:t xml:space="preserve"> </w:t>
      </w:r>
      <w:r>
        <w:rPr>
          <w:rFonts w:ascii="SimSun" w:hAnsi="SimSun" w:cs="SimSun"/>
          <w:color w:val="000000"/>
          <w:szCs w:val="22"/>
          <w:lang w:val="en-US" w:eastAsia="en-US" w:bidi="ar-SA"/>
        </w:rPr>
        <w:t>月，公司实现营业收入</w:t>
      </w:r>
      <w:r>
        <w:rPr>
          <w:rFonts w:hAnsi="Calibri"/>
          <w:color w:val="000000"/>
          <w:spacing w:val="25"/>
          <w:szCs w:val="22"/>
          <w:lang w:val="en-US" w:eastAsia="en-US" w:bidi="ar-SA"/>
        </w:rPr>
        <w:t xml:space="preserve"> </w:t>
      </w:r>
      <w:r>
        <w:rPr>
          <w:rFonts w:ascii="SimSun" w:hAnsi="Calibri"/>
          <w:color w:val="000000"/>
          <w:szCs w:val="22"/>
          <w:lang w:val="en-US" w:eastAsia="en-US" w:bidi="ar-SA"/>
        </w:rPr>
        <w:t>189,559.57</w:t>
      </w:r>
      <w:r>
        <w:rPr>
          <w:rFonts w:ascii="SimSun" w:hAnsi="Calibri"/>
          <w:color w:val="000000"/>
          <w:spacing w:val="-36"/>
          <w:szCs w:val="22"/>
          <w:lang w:val="en-US" w:eastAsia="en-US" w:bidi="ar-SA"/>
        </w:rPr>
        <w:t xml:space="preserve"> </w:t>
      </w:r>
      <w:r>
        <w:rPr>
          <w:rFonts w:ascii="SimSun" w:hAnsi="SimSun" w:cs="SimSun"/>
          <w:color w:val="000000"/>
          <w:szCs w:val="22"/>
          <w:lang w:val="en-US" w:eastAsia="en-US" w:bidi="ar-SA"/>
        </w:rPr>
        <w:t>万元、净利润</w:t>
      </w:r>
      <w:r>
        <w:rPr>
          <w:rFonts w:hAnsi="Calibri"/>
          <w:color w:val="000000"/>
          <w:spacing w:val="25"/>
          <w:szCs w:val="22"/>
          <w:lang w:val="en-US" w:eastAsia="en-US" w:bidi="ar-SA"/>
        </w:rPr>
        <w:t xml:space="preserve"> </w:t>
      </w:r>
      <w:r>
        <w:rPr>
          <w:rFonts w:ascii="SimSun" w:hAnsi="Calibri"/>
          <w:color w:val="000000"/>
          <w:szCs w:val="22"/>
          <w:lang w:val="en-US" w:eastAsia="en-US" w:bidi="ar-SA"/>
        </w:rPr>
        <w:t>17,603.43</w:t>
      </w:r>
    </w:p>
    <w:p>
      <w:pPr>
        <w:framePr w:w="8546" w:x="1800" w:y="1406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万元、归属于上市公司股东的扣除非经营性损益的净利润</w:t>
      </w:r>
      <w:r>
        <w:rPr>
          <w:rFonts w:hAnsi="Calibri"/>
          <w:color w:val="000000"/>
          <w:spacing w:val="1"/>
          <w:szCs w:val="22"/>
          <w:lang w:val="en-US" w:eastAsia="en-US" w:bidi="ar-SA"/>
        </w:rPr>
        <w:t xml:space="preserve"> </w:t>
      </w:r>
      <w:r>
        <w:rPr>
          <w:rFonts w:ascii="SimSun" w:hAnsi="Calibri"/>
          <w:color w:val="000000"/>
          <w:szCs w:val="22"/>
          <w:lang w:val="en-US" w:eastAsia="en-US" w:bidi="ar-SA"/>
        </w:rPr>
        <w:t>16,494.02</w:t>
      </w:r>
      <w:r>
        <w:rPr>
          <w:rFonts w:ascii="SimSun" w:hAnsi="SimSun" w:cs="SimSun"/>
          <w:color w:val="000000"/>
          <w:szCs w:val="22"/>
          <w:lang w:val="en-US" w:eastAsia="en-US" w:bidi="ar-SA"/>
        </w:rPr>
        <w:t>万元。</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33.1pt;height:65.5pt;margin-top:173.05pt;margin-left:83.5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680" w:x="228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监事会认为：</w:t>
      </w:r>
    </w:p>
    <w:p>
      <w:pPr>
        <w:framePr w:w="8064" w:x="2280"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年年度报告编制和审核程序符合法律、法规、《公司章程》和公司</w:t>
      </w:r>
    </w:p>
    <w:p>
      <w:pPr>
        <w:framePr w:w="3120" w:x="1800"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内部管理制度等各项规定。</w:t>
      </w:r>
    </w:p>
    <w:p>
      <w:pPr>
        <w:framePr w:w="8640" w:x="1800" w:y="325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pacing w:val="-34"/>
          <w:szCs w:val="22"/>
          <w:lang w:val="en-US" w:eastAsia="en-US" w:bidi="ar-SA"/>
        </w:rPr>
        <w:t>、</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年年度报告的内容和格式符合中国证监会和上海证券交易所的各项</w:t>
      </w:r>
    </w:p>
    <w:p>
      <w:pPr>
        <w:framePr w:w="8640" w:x="1800" w:y="32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规定，所披露的信息真实、准确、完整，不存在虚假记载、误导性陈述或重大遗</w:t>
      </w:r>
    </w:p>
    <w:p>
      <w:pPr>
        <w:framePr w:w="8640" w:x="1800" w:y="32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漏，公允、全面、真实地反映了公司的经营成果和财务状况。</w:t>
      </w:r>
    </w:p>
    <w:p>
      <w:pPr>
        <w:framePr w:w="8067" w:x="2280"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pacing w:val="-12"/>
          <w:szCs w:val="22"/>
          <w:lang w:val="en-US" w:eastAsia="en-US" w:bidi="ar-SA"/>
        </w:rPr>
        <w:t>、未发现参与公司</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年年度报告编制和审议的人员有违反保密规定的行</w:t>
      </w:r>
    </w:p>
    <w:p>
      <w:pPr>
        <w:framePr w:w="720" w:x="1800"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为。</w:t>
      </w:r>
    </w:p>
    <w:p>
      <w:pPr>
        <w:framePr w:w="4861" w:x="2280"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4861" w:x="2280"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5185" w:x="2283"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（三）审议通过《公司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hAnsi="SimSun" w:eastAsiaTheme="minorEastAsia" w:cs="SimSun"/>
          <w:color w:val="000000"/>
          <w:spacing w:val="1"/>
          <w:szCs w:val="22"/>
          <w:lang w:val="en-US" w:eastAsia="en-US" w:bidi="ar-SA"/>
        </w:rPr>
        <w:t>年第一季度报告》</w:t>
      </w:r>
    </w:p>
    <w:p>
      <w:pPr>
        <w:framePr w:w="8548" w:x="1800" w:y="77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1-3</w:t>
      </w:r>
      <w:r>
        <w:rPr>
          <w:rFonts w:ascii="SimSun" w:hAnsi="SimSun" w:eastAsiaTheme="minorEastAsia" w:cs="SimSun"/>
          <w:color w:val="000000"/>
          <w:spacing w:val="-2"/>
          <w:szCs w:val="22"/>
          <w:lang w:val="en-US" w:eastAsia="en-US" w:bidi="ar-SA"/>
        </w:rPr>
        <w:t>月，公司实现营业收入</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zCs w:val="22"/>
          <w:lang w:val="en-US" w:eastAsia="en-US" w:bidi="ar-SA"/>
        </w:rPr>
        <w:t>44,609.13</w:t>
      </w:r>
      <w:r>
        <w:rPr>
          <w:rFonts w:ascii="SimSun" w:hAnsi="SimSun" w:eastAsiaTheme="minorEastAsia" w:cs="SimSun"/>
          <w:color w:val="000000"/>
          <w:spacing w:val="-3"/>
          <w:szCs w:val="22"/>
          <w:lang w:val="en-US" w:eastAsia="en-US" w:bidi="ar-SA"/>
        </w:rPr>
        <w:t>万元、利润总额</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2,442.62</w:t>
      </w:r>
      <w:r>
        <w:rPr>
          <w:rFonts w:ascii="SimSun" w:hAnsi="SimSun" w:eastAsiaTheme="minorEastAsia" w:cs="SimSun"/>
          <w:color w:val="000000"/>
          <w:szCs w:val="22"/>
          <w:lang w:val="en-US" w:eastAsia="en-US" w:bidi="ar-SA"/>
        </w:rPr>
        <w:t>万</w:t>
      </w:r>
    </w:p>
    <w:p>
      <w:pPr>
        <w:framePr w:w="8548" w:x="1800"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元、净利润</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2,069.90</w:t>
      </w:r>
      <w:r>
        <w:rPr>
          <w:rFonts w:ascii="SimSun" w:hAnsi="SimSun" w:eastAsiaTheme="minorEastAsia" w:cs="SimSun"/>
          <w:color w:val="000000"/>
          <w:szCs w:val="22"/>
          <w:lang w:val="en-US" w:eastAsia="en-US" w:bidi="ar-SA"/>
        </w:rPr>
        <w:t>万元。监事会认为：</w:t>
      </w:r>
    </w:p>
    <w:p>
      <w:pPr>
        <w:framePr w:w="8064" w:x="2280"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2021</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年第一季度报告编制和审核程序符合法律、法规、《公司章程》和</w:t>
      </w:r>
    </w:p>
    <w:p>
      <w:pPr>
        <w:framePr w:w="3600" w:x="1800"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公司内部管理制度等各项规定。</w:t>
      </w:r>
    </w:p>
    <w:p>
      <w:pPr>
        <w:framePr w:w="8880" w:x="1800" w:y="99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pacing w:val="-34"/>
          <w:szCs w:val="22"/>
          <w:lang w:val="en-US" w:eastAsia="en-US" w:bidi="ar-SA"/>
        </w:rPr>
        <w:t>、</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年第一季度报告的内容和格式符合中国证监会和上海证券交易所的</w:t>
      </w:r>
    </w:p>
    <w:p>
      <w:pPr>
        <w:framePr w:w="8880" w:x="1800" w:y="99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各项规定，所包含的信息能够从各个方面公允地反映出公司报告期内的财务状况、</w:t>
      </w:r>
    </w:p>
    <w:p>
      <w:pPr>
        <w:framePr w:w="8880" w:x="1800" w:y="99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经营成果和现金流量。</w:t>
      </w:r>
    </w:p>
    <w:p>
      <w:pPr>
        <w:framePr w:w="8067" w:x="2280"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pacing w:val="-12"/>
          <w:szCs w:val="22"/>
          <w:lang w:val="en-US" w:eastAsia="en-US" w:bidi="ar-SA"/>
        </w:rPr>
        <w:t>、未发现参与公司</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年第一季度报告编制和审议的人员有违反保密规定</w:t>
      </w:r>
    </w:p>
    <w:p>
      <w:pPr>
        <w:framePr w:w="1200" w:x="1800" w:y="119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的行为。</w:t>
      </w:r>
    </w:p>
    <w:p>
      <w:pPr>
        <w:framePr w:w="7720" w:x="2280"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720" w:x="2280" w:y="1261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（四）审议通过《公司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年度财务决算及</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hAnsi="SimSun" w:eastAsiaTheme="minorEastAsia" w:cs="SimSun"/>
          <w:color w:val="000000"/>
          <w:spacing w:val="1"/>
          <w:szCs w:val="22"/>
          <w:lang w:val="en-US" w:eastAsia="en-US" w:bidi="ar-SA"/>
        </w:rPr>
        <w:t>年度财务预算报告》</w:t>
      </w:r>
    </w:p>
    <w:p>
      <w:pPr>
        <w:framePr w:w="7720" w:x="2280" w:y="1261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720" w:x="2280" w:y="1261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070" w:x="228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（五）审议通过《关于</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年度利润分配及资本公积金转增股本预案的议</w:t>
      </w:r>
    </w:p>
    <w:p>
      <w:pPr>
        <w:framePr w:w="8070" w:x="2280" w:y="1535"/>
        <w:widowControl w:val="0"/>
        <w:autoSpaceDE w:val="0"/>
        <w:autoSpaceDN w:val="0"/>
        <w:spacing w:before="852"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公司拟以实施权益分派股权登记日登记的总股本为基数，向全体股东每</w:t>
      </w:r>
      <w:r>
        <w:rPr>
          <w:rFonts w:eastAsiaTheme="minorEastAsia" w:hAnsiTheme="minorHAnsi" w:cstheme="minorBidi"/>
          <w:color w:val="000000"/>
          <w:spacing w:val="64"/>
          <w:szCs w:val="22"/>
          <w:lang w:val="en-US" w:eastAsia="en-US" w:bidi="ar-SA"/>
        </w:rPr>
        <w:t xml:space="preserve"> </w:t>
      </w:r>
      <w:r>
        <w:rPr>
          <w:rFonts w:ascii="SimSun" w:eastAsiaTheme="minorEastAsia" w:hAnsiTheme="minorHAnsi" w:cstheme="minorBidi"/>
          <w:color w:val="000000"/>
          <w:szCs w:val="22"/>
          <w:lang w:val="en-US" w:eastAsia="en-US" w:bidi="ar-SA"/>
        </w:rPr>
        <w:t>10</w:t>
      </w:r>
    </w:p>
    <w:p>
      <w:pPr>
        <w:framePr w:w="722" w:x="1800" w:y="200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案》</w:t>
      </w:r>
    </w:p>
    <w:p>
      <w:pPr>
        <w:framePr w:w="8880" w:x="1800"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股派现金股利</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3.50</w:t>
      </w:r>
      <w:r>
        <w:rPr>
          <w:rFonts w:ascii="SimSun" w:hAnsi="SimSun" w:eastAsiaTheme="minorEastAsia" w:cs="SimSun"/>
          <w:color w:val="000000"/>
          <w:spacing w:val="-20"/>
          <w:szCs w:val="22"/>
          <w:lang w:val="en-US" w:eastAsia="en-US" w:bidi="ar-SA"/>
        </w:rPr>
        <w:t>元人民币（含税），共计派发现金股利</w:t>
      </w:r>
      <w:r>
        <w:rPr>
          <w:rFonts w:eastAsiaTheme="minorEastAsia" w:hAnsiTheme="minorHAnsi" w:cstheme="minorBidi"/>
          <w:color w:val="000000"/>
          <w:spacing w:val="21"/>
          <w:szCs w:val="22"/>
          <w:lang w:val="en-US" w:eastAsia="en-US" w:bidi="ar-SA"/>
        </w:rPr>
        <w:t xml:space="preserve"> </w:t>
      </w:r>
      <w:r>
        <w:rPr>
          <w:rFonts w:ascii="SimSun" w:eastAsiaTheme="minorEastAsia" w:hAnsiTheme="minorHAnsi" w:cstheme="minorBidi"/>
          <w:color w:val="000000"/>
          <w:szCs w:val="22"/>
          <w:lang w:val="en-US" w:eastAsia="en-US" w:bidi="ar-SA"/>
        </w:rPr>
        <w:t>5,547.15</w:t>
      </w:r>
      <w:r>
        <w:rPr>
          <w:rFonts w:ascii="SimSun" w:hAnsi="SimSun" w:eastAsiaTheme="minorEastAsia" w:cs="SimSun"/>
          <w:color w:val="000000"/>
          <w:spacing w:val="-33"/>
          <w:szCs w:val="22"/>
          <w:lang w:val="en-US" w:eastAsia="en-US" w:bidi="ar-SA"/>
        </w:rPr>
        <w:t>万元（含税）；</w:t>
      </w:r>
    </w:p>
    <w:p>
      <w:pPr>
        <w:framePr w:w="8880" w:x="1800"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同时以资本公积金转增股本方式向全体股东每</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股转增</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股。</w:t>
      </w:r>
    </w:p>
    <w:p>
      <w:pPr>
        <w:framePr w:w="4861" w:x="2280"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4861" w:x="2280" w:y="418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5908" w:x="2280"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（六）审议通过《公司</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hAnsi="SimSun" w:eastAsiaTheme="minorEastAsia" w:cs="SimSun"/>
          <w:color w:val="000000"/>
          <w:spacing w:val="1"/>
          <w:szCs w:val="22"/>
          <w:lang w:val="en-US" w:eastAsia="en-US" w:bidi="ar-SA"/>
        </w:rPr>
        <w:t>年度内部控制评价报告》</w:t>
      </w:r>
    </w:p>
    <w:p>
      <w:pPr>
        <w:framePr w:w="5908" w:x="2280" w:y="543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8068" w:x="2283"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（七）审议通过《关于公司董事、监事</w:t>
      </w:r>
      <w:r>
        <w:rPr>
          <w:rFonts w:eastAsiaTheme="minorEastAsia" w:hAnsiTheme="minorHAnsi" w:cstheme="minorBidi"/>
          <w:color w:val="000000"/>
          <w:spacing w:val="31"/>
          <w:szCs w:val="22"/>
          <w:lang w:val="en-US" w:eastAsia="en-US" w:bidi="ar-SA"/>
        </w:rPr>
        <w:t xml:space="preserve"> </w:t>
      </w:r>
      <w:r>
        <w:rPr>
          <w:rFonts w:ascii="SimSun" w:eastAsiaTheme="minorEastAsia" w:hAnsiTheme="minorHAnsi" w:cstheme="minorBidi"/>
          <w:color w:val="000000"/>
          <w:spacing w:val="1"/>
          <w:szCs w:val="22"/>
          <w:lang w:val="en-US" w:eastAsia="en-US" w:bidi="ar-SA"/>
        </w:rPr>
        <w:t>2020</w:t>
      </w:r>
      <w:r>
        <w:rPr>
          <w:rFonts w:ascii="SimSun" w:eastAsiaTheme="minorEastAsia" w:hAnsiTheme="minorHAnsi" w:cstheme="minorBidi"/>
          <w:color w:val="000000"/>
          <w:spacing w:val="-32"/>
          <w:szCs w:val="22"/>
          <w:lang w:val="en-US" w:eastAsia="en-US" w:bidi="ar-SA"/>
        </w:rPr>
        <w:t xml:space="preserve"> </w:t>
      </w:r>
      <w:r>
        <w:rPr>
          <w:rFonts w:ascii="SimSun" w:hAnsi="SimSun" w:eastAsiaTheme="minorEastAsia" w:cs="SimSun"/>
          <w:color w:val="000000"/>
          <w:spacing w:val="1"/>
          <w:szCs w:val="22"/>
          <w:lang w:val="en-US" w:eastAsia="en-US" w:bidi="ar-SA"/>
        </w:rPr>
        <w:t>年度薪酬情况及</w:t>
      </w:r>
      <w:r>
        <w:rPr>
          <w:rFonts w:eastAsiaTheme="minorEastAsia" w:hAnsiTheme="minorHAnsi" w:cstheme="minorBidi"/>
          <w:color w:val="000000"/>
          <w:spacing w:val="32"/>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eastAsiaTheme="minorEastAsia" w:hAnsiTheme="minorHAnsi" w:cstheme="minorBidi"/>
          <w:color w:val="000000"/>
          <w:spacing w:val="-32"/>
          <w:szCs w:val="22"/>
          <w:lang w:val="en-US" w:eastAsia="en-US" w:bidi="ar-SA"/>
        </w:rPr>
        <w:t xml:space="preserve"> </w:t>
      </w:r>
      <w:r>
        <w:rPr>
          <w:rFonts w:ascii="SimSun" w:hAnsi="SimSun" w:eastAsiaTheme="minorEastAsia" w:cs="SimSun"/>
          <w:color w:val="000000"/>
          <w:spacing w:val="1"/>
          <w:szCs w:val="22"/>
          <w:lang w:val="en-US" w:eastAsia="en-US" w:bidi="ar-SA"/>
        </w:rPr>
        <w:t>年度薪</w:t>
      </w:r>
    </w:p>
    <w:p>
      <w:pPr>
        <w:framePr w:w="1927" w:x="1800"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酬方案的议案》</w:t>
      </w:r>
    </w:p>
    <w:p>
      <w:pPr>
        <w:framePr w:w="4861" w:x="2280"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3360" w:x="2280"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6148" w:x="2280"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（八）审议通过《关于续聘</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1"/>
          <w:szCs w:val="22"/>
          <w:lang w:val="en-US" w:eastAsia="en-US" w:bidi="ar-SA"/>
        </w:rPr>
        <w:t>2021</w:t>
      </w:r>
      <w:r>
        <w:rPr>
          <w:rFonts w:ascii="SimSun" w:hAnsi="SimSun" w:eastAsiaTheme="minorEastAsia" w:cs="SimSun"/>
          <w:color w:val="000000"/>
          <w:spacing w:val="1"/>
          <w:szCs w:val="22"/>
          <w:lang w:val="en-US" w:eastAsia="en-US" w:bidi="ar-SA"/>
        </w:rPr>
        <w:t>年度审计机构的议案》</w:t>
      </w:r>
    </w:p>
    <w:p>
      <w:pPr>
        <w:framePr w:w="6148" w:x="2280" w:y="902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3360" w:x="2280"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framePr w:w="7955" w:x="2280"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（九）审议通过《关于公司及子公司使用自有资金进行现金管理的议案》</w:t>
      </w:r>
    </w:p>
    <w:p>
      <w:pPr>
        <w:framePr w:w="7955" w:x="2280" w:y="1089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955" w:x="2280"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（十）审议通过《关于公司及子公司向银行申请授信额度及担保的议案》</w:t>
      </w:r>
    </w:p>
    <w:p>
      <w:pPr>
        <w:framePr w:w="7955" w:x="2280" w:y="12144"/>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7713" w:x="2280"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（十一）审议通过《关于公司及子公司开展外汇套期保值业务的议案》</w:t>
      </w:r>
    </w:p>
    <w:p>
      <w:pPr>
        <w:framePr w:w="7713" w:x="2280" w:y="1339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表决结果：</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票同意，</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票反对，</w:t>
      </w:r>
      <w:r>
        <w:rPr>
          <w:rFonts w:ascii="SimSun" w:eastAsiaTheme="minorEastAsia" w:hAnsiTheme="minorHAnsi" w:cstheme="minorBidi"/>
          <w:color w:val="000000"/>
          <w:spacing w:val="60"/>
          <w:szCs w:val="22"/>
          <w:lang w:val="en-US" w:eastAsia="en-US" w:bidi="ar-SA"/>
        </w:rPr>
        <w:t>0</w:t>
      </w:r>
      <w:r>
        <w:rPr>
          <w:rFonts w:ascii="SimSun" w:hAnsi="SimSun" w:eastAsiaTheme="minorEastAsia" w:cs="SimSun"/>
          <w:color w:val="000000"/>
          <w:szCs w:val="22"/>
          <w:lang w:val="en-US" w:eastAsia="en-US" w:bidi="ar-SA"/>
        </w:rPr>
        <w:t>票弃权。</w:t>
      </w:r>
    </w:p>
    <w:p>
      <w:pPr>
        <w:framePr w:w="3360" w:x="2280"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本议案需提交股东大会审议。</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440" w:x="228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特此公告。</w:t>
      </w:r>
    </w:p>
    <w:p>
      <w:pPr>
        <w:framePr w:w="3841" w:x="6481"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山东先达农化股份有限公司监事会</w:t>
      </w:r>
    </w:p>
    <w:p>
      <w:pPr>
        <w:framePr w:w="1801" w:x="7561"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月</w:t>
      </w:r>
      <w:r>
        <w:rPr>
          <w:rFonts w:ascii="SimSun" w:eastAsiaTheme="minorEastAsia" w:hAnsiTheme="minorHAnsi" w:cstheme="minorBidi"/>
          <w:color w:val="000000"/>
          <w:szCs w:val="22"/>
          <w:lang w:val="en-US" w:eastAsia="en-US" w:bidi="ar-SA"/>
        </w:rPr>
        <w:t>27</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