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0.3 -->
  <w:body>
    <w:p>
      <w:pPr>
        <w:spacing w:line="0" w:lineRule="atLeast"/>
        <w:rPr>
          <w:rFonts w:ascii="Arial" w:hAnsi="Calibri"/>
          <w:color w:val="FF0000"/>
          <w:sz w:val="2"/>
          <w:szCs w:val="22"/>
          <w:lang w:val="en-US" w:eastAsia="en-US" w:bidi="ar-SA"/>
        </w:rPr>
      </w:pPr>
      <w:bookmarkStart w:id="0" w:name="br1"/>
      <w:bookmarkEnd w:id="0"/>
      <w:r>
        <w:rPr>
          <w:rFonts w:ascii="Arial" w:hAnsi="Calibri"/>
          <w:color w:val="FF0000"/>
          <w:sz w:val="2"/>
          <w:szCs w:val="22"/>
          <w:lang w:val="en-US" w:eastAsia="en-US" w:bidi="ar-SA"/>
        </w:rPr>
        <w:t xml:space="preserve"> </w:t>
      </w:r>
    </w:p>
    <w:p>
      <w:pPr>
        <w:framePr w:w="1934" w:x="5355" w:y="859"/>
        <w:widowControl w:val="0"/>
        <w:autoSpaceDE w:val="0"/>
        <w:autoSpaceDN w:val="0"/>
        <w:spacing w:line="180" w:lineRule="exact"/>
        <w:rPr>
          <w:rFonts w:hAnsi="Calibri"/>
          <w:color w:val="000000"/>
          <w:sz w:val="18"/>
          <w:szCs w:val="22"/>
          <w:lang w:val="en-US" w:eastAsia="en-US" w:bidi="ar-SA"/>
        </w:rPr>
      </w:pPr>
      <w:r>
        <w:rPr>
          <w:rFonts w:ascii="SimSun" w:hAnsi="Calibri"/>
          <w:color w:val="000000"/>
          <w:spacing w:val="3"/>
          <w:sz w:val="18"/>
          <w:szCs w:val="22"/>
          <w:lang w:val="en-US" w:eastAsia="en-US" w:bidi="ar-SA"/>
        </w:rPr>
        <w:t>2021</w:t>
      </w:r>
      <w:r>
        <w:rPr>
          <w:rFonts w:ascii="SimSun" w:hAnsi="SimSun" w:cs="SimSun"/>
          <w:color w:val="000000"/>
          <w:spacing w:val="2"/>
          <w:sz w:val="18"/>
          <w:szCs w:val="22"/>
          <w:lang w:val="en-US" w:eastAsia="en-US" w:bidi="ar-SA"/>
        </w:rPr>
        <w:t>年第一季度报告</w:t>
      </w:r>
    </w:p>
    <w:p>
      <w:pPr>
        <w:framePr w:w="1930" w:x="1798" w:y="1557"/>
        <w:widowControl w:val="0"/>
        <w:autoSpaceDE w:val="0"/>
        <w:autoSpaceDN w:val="0"/>
        <w:spacing w:line="211" w:lineRule="exact"/>
        <w:rPr>
          <w:rFonts w:ascii="SimSun" w:hAnsi="Calibri"/>
          <w:color w:val="000000"/>
          <w:sz w:val="21"/>
          <w:szCs w:val="22"/>
          <w:lang w:val="en-US" w:eastAsia="en-US" w:bidi="ar-SA"/>
        </w:rPr>
      </w:pPr>
      <w:r>
        <w:rPr>
          <w:rFonts w:ascii="SimSun" w:hAnsi="SimSun" w:cs="SimSun"/>
          <w:color w:val="000000"/>
          <w:sz w:val="21"/>
          <w:szCs w:val="22"/>
          <w:lang w:val="en-US" w:eastAsia="en-US" w:bidi="ar-SA"/>
        </w:rPr>
        <w:t>公司代码：</w:t>
      </w:r>
      <w:r>
        <w:rPr>
          <w:rFonts w:ascii="SimSun" w:hAnsi="Calibri"/>
          <w:color w:val="000000"/>
          <w:sz w:val="21"/>
          <w:szCs w:val="22"/>
          <w:lang w:val="en-US" w:eastAsia="en-US" w:bidi="ar-SA"/>
        </w:rPr>
        <w:t>603086</w:t>
      </w:r>
    </w:p>
    <w:p>
      <w:pPr>
        <w:framePr w:w="2141" w:x="8519" w:y="1557"/>
        <w:widowControl w:val="0"/>
        <w:autoSpaceDE w:val="0"/>
        <w:autoSpaceDN w:val="0"/>
        <w:spacing w:line="211" w:lineRule="exact"/>
        <w:rPr>
          <w:rFonts w:hAnsi="Calibri"/>
          <w:color w:val="000000"/>
          <w:sz w:val="21"/>
          <w:szCs w:val="22"/>
          <w:lang w:val="en-US" w:eastAsia="en-US" w:bidi="ar-SA"/>
        </w:rPr>
      </w:pPr>
      <w:r>
        <w:rPr>
          <w:rFonts w:ascii="SimSun" w:hAnsi="SimSun" w:cs="SimSun"/>
          <w:color w:val="000000"/>
          <w:sz w:val="21"/>
          <w:szCs w:val="22"/>
          <w:lang w:val="en-US" w:eastAsia="en-US" w:bidi="ar-SA"/>
        </w:rPr>
        <w:t>公司简称：先达股份</w:t>
      </w:r>
    </w:p>
    <w:p>
      <w:pPr>
        <w:framePr w:w="4093" w:x="4287" w:y="6337"/>
        <w:widowControl w:val="0"/>
        <w:autoSpaceDE w:val="0"/>
        <w:autoSpaceDN w:val="0"/>
        <w:spacing w:line="319" w:lineRule="exact"/>
        <w:rPr>
          <w:rFonts w:hAnsi="Calibri"/>
          <w:color w:val="000000"/>
          <w:sz w:val="32"/>
          <w:szCs w:val="22"/>
          <w:lang w:val="en-US" w:eastAsia="en-US" w:bidi="ar-SA"/>
        </w:rPr>
      </w:pPr>
      <w:r>
        <w:rPr>
          <w:rFonts w:ascii="SimHei" w:hAnsi="SimHei" w:cs="SimHei"/>
          <w:color w:val="000000"/>
          <w:spacing w:val="1"/>
          <w:sz w:val="32"/>
          <w:szCs w:val="22"/>
          <w:lang w:val="en-US" w:eastAsia="en-US" w:bidi="ar-SA"/>
        </w:rPr>
        <w:t>山东先达农化股份有限公司</w:t>
      </w:r>
    </w:p>
    <w:p>
      <w:pPr>
        <w:framePr w:w="3857" w:x="4405" w:y="6961"/>
        <w:widowControl w:val="0"/>
        <w:autoSpaceDE w:val="0"/>
        <w:autoSpaceDN w:val="0"/>
        <w:spacing w:line="319" w:lineRule="exact"/>
        <w:rPr>
          <w:rFonts w:hAnsi="Calibri"/>
          <w:color w:val="000000"/>
          <w:sz w:val="32"/>
          <w:szCs w:val="22"/>
          <w:lang w:val="en-US" w:eastAsia="en-US" w:bidi="ar-SA"/>
        </w:rPr>
      </w:pPr>
      <w:r>
        <w:rPr>
          <w:rFonts w:ascii="SimHei" w:hAnsi="Calibri"/>
          <w:color w:val="000000"/>
          <w:spacing w:val="1"/>
          <w:sz w:val="32"/>
          <w:szCs w:val="22"/>
          <w:lang w:val="en-US" w:eastAsia="en-US" w:bidi="ar-SA"/>
        </w:rPr>
        <w:t>2021</w:t>
      </w:r>
      <w:r>
        <w:rPr>
          <w:rFonts w:ascii="SimHei" w:hAnsi="SimHei" w:cs="SimHei"/>
          <w:color w:val="000000"/>
          <w:spacing w:val="2"/>
          <w:sz w:val="32"/>
          <w:szCs w:val="22"/>
          <w:lang w:val="en-US" w:eastAsia="en-US" w:bidi="ar-SA"/>
        </w:rPr>
        <w:t>年第一季度报告正文</w:t>
      </w:r>
    </w:p>
    <w:p>
      <w:pPr>
        <w:framePr w:w="690" w:x="5989" w:y="15388"/>
        <w:widowControl w:val="0"/>
        <w:autoSpaceDE w:val="0"/>
        <w:autoSpaceDN w:val="0"/>
        <w:spacing w:line="180" w:lineRule="exact"/>
        <w:rPr>
          <w:rFonts w:ascii="SimSun" w:hAnsi="Calibri"/>
          <w:color w:val="000000"/>
          <w:sz w:val="18"/>
          <w:szCs w:val="22"/>
          <w:lang w:val="en-US" w:eastAsia="en-US" w:bidi="ar-SA"/>
        </w:rPr>
      </w:pPr>
      <w:r>
        <w:rPr>
          <w:rFonts w:ascii="SimSun" w:hAnsi="Calibri"/>
          <w:color w:val="000000"/>
          <w:sz w:val="18"/>
          <w:szCs w:val="22"/>
          <w:lang w:val="en-US" w:eastAsia="en-US" w:bidi="ar-SA"/>
        </w:rPr>
        <w:t>1</w:t>
      </w:r>
      <w:r>
        <w:rPr>
          <w:rFonts w:ascii="SimSun" w:hAnsi="Calibri"/>
          <w:color w:val="000000"/>
          <w:spacing w:val="2"/>
          <w:sz w:val="18"/>
          <w:szCs w:val="22"/>
          <w:lang w:val="en-US" w:eastAsia="en-US" w:bidi="ar-SA"/>
        </w:rPr>
        <w:t xml:space="preserve"> </w:t>
      </w:r>
      <w:r>
        <w:rPr>
          <w:rFonts w:ascii="SimSun" w:hAnsi="Calibri"/>
          <w:color w:val="000000"/>
          <w:sz w:val="18"/>
          <w:szCs w:val="22"/>
          <w:lang w:val="en-US" w:eastAsia="en-US" w:bidi="ar-SA"/>
        </w:rPr>
        <w:t>/</w:t>
      </w:r>
      <w:r>
        <w:rPr>
          <w:rFonts w:ascii="SimSun" w:hAnsi="Calibri"/>
          <w:color w:val="000000"/>
          <w:spacing w:val="-2"/>
          <w:sz w:val="18"/>
          <w:szCs w:val="22"/>
          <w:lang w:val="en-US" w:eastAsia="en-US" w:bidi="ar-SA"/>
        </w:rPr>
        <w:t xml:space="preserve"> </w:t>
      </w:r>
      <w:r>
        <w:rPr>
          <w:rFonts w:ascii="SimSun" w:hAnsi="Calibri"/>
          <w:color w:val="000000"/>
          <w:sz w:val="18"/>
          <w:szCs w:val="22"/>
          <w:lang w:val="en-US" w:eastAsia="en-US" w:bidi="ar-SA"/>
        </w:rPr>
        <w:t>6</w:t>
      </w:r>
    </w:p>
    <w:p>
      <w:pPr>
        <w:spacing w:line="0" w:lineRule="atLeast"/>
        <w:rPr>
          <w:rFonts w:ascii="Arial" w:hAnsi="Calibri"/>
          <w:color w:val="FF0000"/>
          <w:sz w:val="2"/>
          <w:szCs w:val="22"/>
          <w:lang w:val="en-US" w:eastAsia="en-US" w:bidi="ar-SA"/>
        </w:rPr>
        <w:sectPr>
          <w:pgSz w:w="11900" w:h="16820"/>
          <w:pgMar w:top="0" w:right="0" w:bottom="0" w:left="0" w:header="720" w:footer="720" w:gutter="0"/>
          <w:pgNumType w:start="1"/>
          <w:cols w:sep="0" w:space="720"/>
          <w:docGrid w:linePitch="1"/>
        </w:sect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445.6pt;height:2.7pt;margin-top:53.3pt;margin-left:87.45pt;mso-position-horizontal-relative:page;mso-position-vertical-relative:page;position:absolute;z-index:-251658240">
            <v:imagedata r:id="rId4" o:title=""/>
          </v:shape>
        </w:pict>
      </w:r>
    </w:p>
    <w:p>
      <w:pPr>
        <w:spacing w:line="0" w:lineRule="atLeast"/>
        <w:rPr>
          <w:rFonts w:ascii="Arial" w:eastAsiaTheme="minorEastAsia" w:hAnsiTheme="minorHAnsi" w:cstheme="minorBidi"/>
          <w:color w:val="FF0000"/>
          <w:sz w:val="2"/>
          <w:szCs w:val="22"/>
          <w:lang w:val="en-US" w:eastAsia="en-US" w:bidi="ar-SA"/>
        </w:rPr>
      </w:pPr>
      <w:bookmarkStart w:id="1" w:name="br1_0"/>
      <w:bookmarkEnd w:id="1"/>
      <w:r>
        <w:rPr>
          <w:rFonts w:ascii="Arial" w:eastAsiaTheme="minorEastAsia" w:hAnsiTheme="minorHAnsi" w:cstheme="minorBidi"/>
          <w:color w:val="FF0000"/>
          <w:sz w:val="2"/>
          <w:szCs w:val="22"/>
          <w:lang w:val="en-US" w:eastAsia="en-US" w:bidi="ar-SA"/>
        </w:rPr>
        <w:t xml:space="preserve"> </w:t>
      </w:r>
    </w:p>
    <w:p>
      <w:pPr>
        <w:framePr w:w="1934" w:x="5355" w:y="859"/>
        <w:widowControl w:val="0"/>
        <w:autoSpaceDE w:val="0"/>
        <w:autoSpaceDN w:val="0"/>
        <w:spacing w:line="180" w:lineRule="exact"/>
        <w:rPr>
          <w:rFonts w:eastAsiaTheme="minorEastAsia" w:hAnsiTheme="minorHAnsi" w:cstheme="minorBidi"/>
          <w:color w:val="000000"/>
          <w:sz w:val="18"/>
          <w:szCs w:val="22"/>
          <w:lang w:val="en-US" w:eastAsia="en-US" w:bidi="ar-SA"/>
        </w:rPr>
      </w:pPr>
      <w:r>
        <w:rPr>
          <w:rFonts w:ascii="SimSun" w:eastAsiaTheme="minorEastAsia" w:hAnsiTheme="minorHAnsi" w:cstheme="minorBidi"/>
          <w:color w:val="000000"/>
          <w:spacing w:val="3"/>
          <w:sz w:val="18"/>
          <w:szCs w:val="22"/>
          <w:lang w:val="en-US" w:eastAsia="en-US" w:bidi="ar-SA"/>
        </w:rPr>
        <w:t>2021</w:t>
      </w:r>
      <w:r>
        <w:rPr>
          <w:rFonts w:ascii="SimSun" w:hAnsi="SimSun" w:eastAsiaTheme="minorEastAsia" w:cs="SimSun"/>
          <w:color w:val="000000"/>
          <w:spacing w:val="2"/>
          <w:sz w:val="18"/>
          <w:szCs w:val="22"/>
          <w:lang w:val="en-US" w:eastAsia="en-US" w:bidi="ar-SA"/>
        </w:rPr>
        <w:t>年第一季度报告</w:t>
      </w:r>
    </w:p>
    <w:p>
      <w:pPr>
        <w:framePr w:w="1519" w:x="1798" w:y="1677"/>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4"/>
          <w:sz w:val="21"/>
          <w:szCs w:val="22"/>
          <w:lang w:val="en-US" w:eastAsia="en-US" w:bidi="ar-SA"/>
        </w:rPr>
        <w:t>一、重要提示</w:t>
      </w:r>
    </w:p>
    <w:p>
      <w:pPr>
        <w:framePr w:w="9184" w:x="1798" w:y="2222"/>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1.1</w:t>
      </w:r>
      <w:r>
        <w:rPr>
          <w:rFonts w:ascii="SimSun" w:eastAsiaTheme="minorEastAsia" w:hAnsiTheme="minorHAnsi" w:cstheme="minorBidi"/>
          <w:color w:val="000000"/>
          <w:spacing w:val="125"/>
          <w:sz w:val="21"/>
          <w:szCs w:val="22"/>
          <w:lang w:val="en-US" w:eastAsia="en-US" w:bidi="ar-SA"/>
        </w:rPr>
        <w:t xml:space="preserve"> </w:t>
      </w:r>
      <w:r>
        <w:rPr>
          <w:rFonts w:ascii="SimSun" w:hAnsi="SimSun" w:eastAsiaTheme="minorEastAsia" w:cs="SimSun"/>
          <w:color w:val="000000"/>
          <w:sz w:val="21"/>
          <w:szCs w:val="22"/>
          <w:lang w:val="en-US" w:eastAsia="en-US" w:bidi="ar-SA"/>
        </w:rPr>
        <w:t>公司董事会、监事会及董事、监事、高级管理人员保证季度报告内容的真实、准确、完整，</w:t>
      </w:r>
    </w:p>
    <w:p>
      <w:pPr>
        <w:framePr w:w="7421" w:x="2218" w:y="2690"/>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不存在虚假记载、误导性陈述或者重大遗漏，并承担个别和连带的法律责任。</w:t>
      </w:r>
    </w:p>
    <w:p>
      <w:pPr>
        <w:framePr w:w="4572" w:x="1798" w:y="3237"/>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1.2</w:t>
      </w:r>
      <w:r>
        <w:rPr>
          <w:rFonts w:ascii="SimSun" w:eastAsiaTheme="minorEastAsia" w:hAnsiTheme="minorHAnsi" w:cstheme="minorBidi"/>
          <w:color w:val="000000"/>
          <w:spacing w:val="125"/>
          <w:sz w:val="21"/>
          <w:szCs w:val="22"/>
          <w:lang w:val="en-US" w:eastAsia="en-US" w:bidi="ar-SA"/>
        </w:rPr>
        <w:t xml:space="preserve"> </w:t>
      </w:r>
      <w:r>
        <w:rPr>
          <w:rFonts w:ascii="SimSun" w:hAnsi="SimSun" w:eastAsiaTheme="minorEastAsia" w:cs="SimSun"/>
          <w:color w:val="000000"/>
          <w:sz w:val="21"/>
          <w:szCs w:val="22"/>
          <w:lang w:val="en-US" w:eastAsia="en-US" w:bidi="ar-SA"/>
        </w:rPr>
        <w:t>公司全体董事出席董事会审议季度报告。</w:t>
      </w:r>
    </w:p>
    <w:p>
      <w:pPr>
        <w:framePr w:w="8985" w:x="1798" w:y="3705"/>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1.3</w:t>
      </w:r>
      <w:r>
        <w:rPr>
          <w:rFonts w:ascii="SimSun" w:eastAsiaTheme="minorEastAsia" w:hAnsiTheme="minorHAnsi" w:cstheme="minorBidi"/>
          <w:color w:val="000000"/>
          <w:spacing w:val="125"/>
          <w:sz w:val="21"/>
          <w:szCs w:val="22"/>
          <w:lang w:val="en-US" w:eastAsia="en-US" w:bidi="ar-SA"/>
        </w:rPr>
        <w:t xml:space="preserve"> </w:t>
      </w:r>
      <w:r>
        <w:rPr>
          <w:rFonts w:ascii="SimSun" w:hAnsi="SimSun" w:eastAsiaTheme="minorEastAsia" w:cs="SimSun"/>
          <w:color w:val="000000"/>
          <w:sz w:val="21"/>
          <w:szCs w:val="22"/>
          <w:lang w:val="en-US" w:eastAsia="en-US" w:bidi="ar-SA"/>
        </w:rPr>
        <w:t>公司负责人王现全、主管会计工作负责人江广同及会计机构负责人（会计主管人员）江广</w:t>
      </w:r>
    </w:p>
    <w:p>
      <w:pPr>
        <w:framePr w:w="4886" w:x="2218" w:y="4017"/>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同保证季度报告中财务报表的真实、准确、完整。</w:t>
      </w:r>
    </w:p>
    <w:p>
      <w:pPr>
        <w:framePr w:w="3732" w:x="1798" w:y="4485"/>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1.4</w:t>
      </w:r>
      <w:r>
        <w:rPr>
          <w:rFonts w:ascii="SimSun" w:eastAsiaTheme="minorEastAsia" w:hAnsiTheme="minorHAnsi" w:cstheme="minorBidi"/>
          <w:color w:val="000000"/>
          <w:spacing w:val="125"/>
          <w:sz w:val="21"/>
          <w:szCs w:val="22"/>
          <w:lang w:val="en-US" w:eastAsia="en-US" w:bidi="ar-SA"/>
        </w:rPr>
        <w:t xml:space="preserve"> </w:t>
      </w:r>
      <w:r>
        <w:rPr>
          <w:rFonts w:ascii="SimSun" w:hAnsi="SimSun" w:eastAsiaTheme="minorEastAsia" w:cs="SimSun"/>
          <w:color w:val="000000"/>
          <w:sz w:val="21"/>
          <w:szCs w:val="22"/>
          <w:lang w:val="en-US" w:eastAsia="en-US" w:bidi="ar-SA"/>
        </w:rPr>
        <w:t>本公司第一季度报告未经审计。</w:t>
      </w:r>
    </w:p>
    <w:p>
      <w:pPr>
        <w:framePr w:w="3415" w:x="1798" w:y="4953"/>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2"/>
          <w:sz w:val="21"/>
          <w:szCs w:val="22"/>
          <w:lang w:val="en-US" w:eastAsia="en-US" w:bidi="ar-SA"/>
        </w:rPr>
        <w:t>二、公司主要财务数据和股东变化</w:t>
      </w:r>
    </w:p>
    <w:p>
      <w:pPr>
        <w:framePr w:w="2050" w:x="1798" w:y="5386"/>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2.1</w:t>
      </w:r>
      <w:r>
        <w:rPr>
          <w:rFonts w:ascii="SimSun" w:eastAsiaTheme="minorEastAsia" w:hAnsiTheme="minorHAnsi" w:cstheme="minorBidi"/>
          <w:color w:val="000000"/>
          <w:spacing w:val="125"/>
          <w:sz w:val="21"/>
          <w:szCs w:val="22"/>
          <w:lang w:val="en-US" w:eastAsia="en-US" w:bidi="ar-SA"/>
        </w:rPr>
        <w:t xml:space="preserve"> </w:t>
      </w:r>
      <w:r>
        <w:rPr>
          <w:rFonts w:ascii="SimSun" w:hAnsi="SimSun" w:eastAsiaTheme="minorEastAsia" w:cs="SimSun"/>
          <w:color w:val="000000"/>
          <w:sz w:val="21"/>
          <w:szCs w:val="22"/>
          <w:lang w:val="en-US" w:eastAsia="en-US" w:bidi="ar-SA"/>
        </w:rPr>
        <w:t>主要财务数据</w:t>
      </w:r>
    </w:p>
    <w:p>
      <w:pPr>
        <w:framePr w:w="2554" w:x="8320" w:y="5818"/>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单位：元</w:t>
      </w:r>
      <w:r>
        <w:rPr>
          <w:rFonts w:eastAsiaTheme="minorEastAsia" w:hAnsiTheme="minorHAnsi" w:cstheme="minorBidi"/>
          <w:color w:val="000000"/>
          <w:spacing w:val="157"/>
          <w:sz w:val="21"/>
          <w:szCs w:val="22"/>
          <w:lang w:val="en-US" w:eastAsia="en-US" w:bidi="ar-SA"/>
        </w:rPr>
        <w:t xml:space="preserve"> </w:t>
      </w:r>
      <w:r>
        <w:rPr>
          <w:rFonts w:ascii="SimSun" w:hAnsi="SimSun" w:eastAsiaTheme="minorEastAsia" w:cs="SimSun"/>
          <w:color w:val="000000"/>
          <w:sz w:val="21"/>
          <w:szCs w:val="22"/>
          <w:lang w:val="en-US" w:eastAsia="en-US" w:bidi="ar-SA"/>
        </w:rPr>
        <w:t>币种：人民币</w:t>
      </w:r>
    </w:p>
    <w:p>
      <w:pPr>
        <w:framePr w:w="2554" w:x="8320" w:y="5818"/>
        <w:widowControl w:val="0"/>
        <w:autoSpaceDE w:val="0"/>
        <w:autoSpaceDN w:val="0"/>
        <w:spacing w:before="113" w:line="211" w:lineRule="exact"/>
        <w:ind w:left="406"/>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本报告期末比上年度</w:t>
      </w:r>
    </w:p>
    <w:p>
      <w:pPr>
        <w:framePr w:w="1296" w:x="4463" w:y="6298"/>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本报告期末</w:t>
      </w:r>
    </w:p>
    <w:p>
      <w:pPr>
        <w:framePr w:w="1085" w:x="6906" w:y="6298"/>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上年度末</w:t>
      </w:r>
    </w:p>
    <w:p>
      <w:pPr>
        <w:framePr w:w="1190" w:x="9199" w:y="6454"/>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末增减</w:t>
      </w:r>
      <w:r>
        <w:rPr>
          <w:rFonts w:ascii="SimSun" w:eastAsiaTheme="minorEastAsia" w:hAnsiTheme="minorHAnsi" w:cstheme="minorBidi"/>
          <w:color w:val="000000"/>
          <w:spacing w:val="1"/>
          <w:sz w:val="21"/>
          <w:szCs w:val="22"/>
          <w:lang w:val="en-US" w:eastAsia="en-US" w:bidi="ar-SA"/>
        </w:rPr>
        <w:t>(%)</w:t>
      </w:r>
    </w:p>
    <w:p>
      <w:pPr>
        <w:framePr w:w="874" w:x="912" w:y="6775"/>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总资产</w:t>
      </w:r>
    </w:p>
    <w:p>
      <w:pPr>
        <w:framePr w:w="1935" w:x="4254" w:y="6775"/>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2,512,181,645.71</w:t>
      </w:r>
    </w:p>
    <w:p>
      <w:pPr>
        <w:framePr w:w="1935" w:x="4254" w:y="6775"/>
        <w:widowControl w:val="0"/>
        <w:autoSpaceDE w:val="0"/>
        <w:autoSpaceDN w:val="0"/>
        <w:spacing w:before="110"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1,726,398,244.46</w:t>
      </w:r>
    </w:p>
    <w:p>
      <w:pPr>
        <w:framePr w:w="1935" w:x="4254" w:y="6775"/>
        <w:widowControl w:val="0"/>
        <w:autoSpaceDE w:val="0"/>
        <w:autoSpaceDN w:val="0"/>
        <w:spacing w:before="110"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年初至报告期末</w:t>
      </w:r>
    </w:p>
    <w:p>
      <w:pPr>
        <w:framePr w:w="1935" w:x="4254" w:y="6775"/>
        <w:widowControl w:val="0"/>
        <w:autoSpaceDE w:val="0"/>
        <w:autoSpaceDN w:val="0"/>
        <w:spacing w:before="110" w:line="211" w:lineRule="exact"/>
        <w:ind w:left="221"/>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-29,821,973.74</w:t>
      </w:r>
    </w:p>
    <w:p>
      <w:pPr>
        <w:framePr w:w="1935" w:x="4254" w:y="6775"/>
        <w:widowControl w:val="0"/>
        <w:autoSpaceDE w:val="0"/>
        <w:autoSpaceDN w:val="0"/>
        <w:spacing w:before="110"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年初至报告期末</w:t>
      </w:r>
    </w:p>
    <w:p>
      <w:pPr>
        <w:framePr w:w="1935" w:x="4254" w:y="6775"/>
        <w:widowControl w:val="0"/>
        <w:autoSpaceDE w:val="0"/>
        <w:autoSpaceDN w:val="0"/>
        <w:spacing w:before="115" w:line="211" w:lineRule="exact"/>
        <w:ind w:left="221"/>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446,091,252.68</w:t>
      </w:r>
    </w:p>
    <w:p>
      <w:pPr>
        <w:framePr w:w="1935" w:x="4254" w:y="6775"/>
        <w:widowControl w:val="0"/>
        <w:autoSpaceDE w:val="0"/>
        <w:autoSpaceDN w:val="0"/>
        <w:spacing w:before="111" w:line="211" w:lineRule="exact"/>
        <w:ind w:left="326"/>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20,699,023.43</w:t>
      </w:r>
    </w:p>
    <w:p>
      <w:pPr>
        <w:framePr w:w="1935" w:x="4254" w:y="6775"/>
        <w:widowControl w:val="0"/>
        <w:autoSpaceDE w:val="0"/>
        <w:autoSpaceDN w:val="0"/>
        <w:spacing w:before="113" w:line="211" w:lineRule="exact"/>
        <w:ind w:left="326"/>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19,850,865.65</w:t>
      </w:r>
    </w:p>
    <w:p>
      <w:pPr>
        <w:framePr w:w="2460" w:x="6277" w:y="6775"/>
        <w:widowControl w:val="0"/>
        <w:autoSpaceDE w:val="0"/>
        <w:autoSpaceDN w:val="0"/>
        <w:spacing w:line="211" w:lineRule="exact"/>
        <w:ind w:left="538"/>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2,335,002,206.40</w:t>
      </w:r>
    </w:p>
    <w:p>
      <w:pPr>
        <w:framePr w:w="2460" w:x="6277" w:y="6775"/>
        <w:widowControl w:val="0"/>
        <w:autoSpaceDE w:val="0"/>
        <w:autoSpaceDN w:val="0"/>
        <w:spacing w:before="110" w:line="211" w:lineRule="exact"/>
        <w:ind w:left="538"/>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1,703,781,974.56</w:t>
      </w:r>
    </w:p>
    <w:p>
      <w:pPr>
        <w:framePr w:w="2460" w:x="6277" w:y="6775"/>
        <w:widowControl w:val="0"/>
        <w:autoSpaceDE w:val="0"/>
        <w:autoSpaceDN w:val="0"/>
        <w:spacing w:before="110"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上年初至上年报告期末</w:t>
      </w:r>
    </w:p>
    <w:p>
      <w:pPr>
        <w:framePr w:w="2460" w:x="6277" w:y="6775"/>
        <w:widowControl w:val="0"/>
        <w:autoSpaceDE w:val="0"/>
        <w:autoSpaceDN w:val="0"/>
        <w:spacing w:before="110" w:line="211" w:lineRule="exact"/>
        <w:ind w:left="852"/>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-5,625,279.46</w:t>
      </w:r>
    </w:p>
    <w:p>
      <w:pPr>
        <w:framePr w:w="662" w:x="10212" w:y="6775"/>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7.59</w:t>
      </w:r>
    </w:p>
    <w:p>
      <w:pPr>
        <w:framePr w:w="662" w:x="10212" w:y="6775"/>
        <w:widowControl w:val="0"/>
        <w:autoSpaceDE w:val="0"/>
        <w:autoSpaceDN w:val="0"/>
        <w:spacing w:before="110"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1.33</w:t>
      </w:r>
    </w:p>
    <w:p>
      <w:pPr>
        <w:framePr w:w="2986" w:x="912" w:y="7097"/>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归属于上市公司股东的净资产</w:t>
      </w:r>
    </w:p>
    <w:p>
      <w:pPr>
        <w:framePr w:w="2096" w:x="8778" w:y="7419"/>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比上年同期增减</w:t>
      </w:r>
      <w:r>
        <w:rPr>
          <w:rFonts w:ascii="SimSun" w:eastAsiaTheme="minorEastAsia" w:hAnsiTheme="minorHAnsi" w:cstheme="minorBidi"/>
          <w:color w:val="000000"/>
          <w:spacing w:val="1"/>
          <w:sz w:val="21"/>
          <w:szCs w:val="22"/>
          <w:lang w:val="en-US" w:eastAsia="en-US" w:bidi="ar-SA"/>
        </w:rPr>
        <w:t>(%)</w:t>
      </w:r>
    </w:p>
    <w:p>
      <w:pPr>
        <w:framePr w:w="2096" w:x="8778" w:y="7419"/>
        <w:widowControl w:val="0"/>
        <w:autoSpaceDE w:val="0"/>
        <w:autoSpaceDN w:val="0"/>
        <w:spacing w:before="110" w:line="211" w:lineRule="exact"/>
        <w:ind w:left="1119"/>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-430.14</w:t>
      </w:r>
    </w:p>
    <w:p>
      <w:pPr>
        <w:framePr w:w="2986" w:x="912" w:y="7740"/>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经营活动产生的现金流量净额</w:t>
      </w:r>
    </w:p>
    <w:p>
      <w:pPr>
        <w:framePr w:w="2986" w:x="912" w:y="7740"/>
        <w:widowControl w:val="0"/>
        <w:autoSpaceDE w:val="0"/>
        <w:autoSpaceDN w:val="0"/>
        <w:spacing w:before="415"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营业收入</w:t>
      </w:r>
    </w:p>
    <w:p>
      <w:pPr>
        <w:framePr w:w="2461" w:x="6277" w:y="8062"/>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上年初至上年报告期末</w:t>
      </w:r>
    </w:p>
    <w:p>
      <w:pPr>
        <w:framePr w:w="2461" w:x="6277" w:y="8062"/>
        <w:widowControl w:val="0"/>
        <w:autoSpaceDE w:val="0"/>
        <w:autoSpaceDN w:val="0"/>
        <w:spacing w:before="115" w:line="211" w:lineRule="exact"/>
        <w:ind w:left="747"/>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368,138,134.73</w:t>
      </w:r>
    </w:p>
    <w:p>
      <w:pPr>
        <w:framePr w:w="2246" w:x="8711" w:y="8064"/>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比上年同期增减（</w:t>
      </w:r>
      <w:r>
        <w:rPr>
          <w:rFonts w:ascii="SimSun" w:eastAsiaTheme="minorEastAsia" w:hAnsiTheme="minorHAnsi" w:cstheme="minorBidi"/>
          <w:color w:val="000000"/>
          <w:spacing w:val="-2"/>
          <w:sz w:val="21"/>
          <w:szCs w:val="22"/>
          <w:lang w:val="en-US" w:eastAsia="en-US" w:bidi="ar-SA"/>
        </w:rPr>
        <w:t>%</w:t>
      </w:r>
      <w:r>
        <w:rPr>
          <w:rFonts w:ascii="SimSun" w:hAnsi="SimSun" w:eastAsiaTheme="minorEastAsia" w:cs="SimSun"/>
          <w:color w:val="000000"/>
          <w:sz w:val="21"/>
          <w:szCs w:val="22"/>
          <w:lang w:val="en-US" w:eastAsia="en-US" w:bidi="ar-SA"/>
        </w:rPr>
        <w:t>）</w:t>
      </w:r>
    </w:p>
    <w:p>
      <w:pPr>
        <w:framePr w:w="2246" w:x="8711" w:y="8064"/>
        <w:widowControl w:val="0"/>
        <w:autoSpaceDE w:val="0"/>
        <w:autoSpaceDN w:val="0"/>
        <w:spacing w:before="113" w:line="211" w:lineRule="exact"/>
        <w:ind w:left="1395"/>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21.17</w:t>
      </w:r>
    </w:p>
    <w:p>
      <w:pPr>
        <w:framePr w:w="2986" w:x="912" w:y="8710"/>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归属于上市公司股东的净利润</w:t>
      </w:r>
    </w:p>
    <w:p>
      <w:pPr>
        <w:framePr w:w="2986" w:x="912" w:y="8710"/>
        <w:widowControl w:val="0"/>
        <w:autoSpaceDE w:val="0"/>
        <w:autoSpaceDN w:val="0"/>
        <w:spacing w:before="9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归属于上市公司股东的扣除非</w:t>
      </w:r>
    </w:p>
    <w:p>
      <w:pPr>
        <w:framePr w:w="2986" w:x="912" w:y="8710"/>
        <w:widowControl w:val="0"/>
        <w:autoSpaceDE w:val="0"/>
        <w:autoSpaceDN w:val="0"/>
        <w:spacing w:before="60"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经常性损益的净利润</w:t>
      </w:r>
    </w:p>
    <w:p>
      <w:pPr>
        <w:framePr w:w="1613" w:x="7129" w:y="8710"/>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24,946,636.61</w:t>
      </w:r>
    </w:p>
    <w:p>
      <w:pPr>
        <w:framePr w:w="874" w:x="10000" w:y="8710"/>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-17.03</w:t>
      </w:r>
    </w:p>
    <w:p>
      <w:pPr>
        <w:framePr w:w="1613" w:x="7129" w:y="9034"/>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26,789,021.13</w:t>
      </w:r>
    </w:p>
    <w:p>
      <w:pPr>
        <w:framePr w:w="874" w:x="10000" w:y="9034"/>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-25.90</w:t>
      </w:r>
    </w:p>
    <w:p>
      <w:pPr>
        <w:framePr w:w="2880" w:x="912" w:y="9589"/>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加权平均净资产收益率（</w:t>
      </w:r>
      <w:r>
        <w:rPr>
          <w:rFonts w:ascii="SimSun" w:eastAsiaTheme="minorEastAsia" w:hAnsiTheme="minorHAnsi" w:cstheme="minorBidi"/>
          <w:color w:val="000000"/>
          <w:spacing w:val="-2"/>
          <w:sz w:val="21"/>
          <w:szCs w:val="22"/>
          <w:lang w:val="en-US" w:eastAsia="en-US" w:bidi="ar-SA"/>
        </w:rPr>
        <w:t>%</w:t>
      </w:r>
      <w:r>
        <w:rPr>
          <w:rFonts w:ascii="SimSun" w:hAnsi="SimSun" w:eastAsiaTheme="minorEastAsia" w:cs="SimSun"/>
          <w:color w:val="000000"/>
          <w:sz w:val="21"/>
          <w:szCs w:val="22"/>
          <w:lang w:val="en-US" w:eastAsia="en-US" w:bidi="ar-SA"/>
        </w:rPr>
        <w:t>）</w:t>
      </w:r>
    </w:p>
    <w:p>
      <w:pPr>
        <w:framePr w:w="2880" w:x="912" w:y="9589"/>
        <w:widowControl w:val="0"/>
        <w:autoSpaceDE w:val="0"/>
        <w:autoSpaceDN w:val="0"/>
        <w:spacing w:before="110"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基本每股收益（元</w:t>
      </w:r>
      <w:r>
        <w:rPr>
          <w:rFonts w:ascii="SimSun" w:eastAsiaTheme="minorEastAsia" w:hAnsiTheme="minorHAnsi" w:cstheme="minorBidi"/>
          <w:color w:val="000000"/>
          <w:spacing w:val="-2"/>
          <w:sz w:val="21"/>
          <w:szCs w:val="22"/>
          <w:lang w:val="en-US" w:eastAsia="en-US" w:bidi="ar-SA"/>
        </w:rPr>
        <w:t>/</w:t>
      </w:r>
      <w:r>
        <w:rPr>
          <w:rFonts w:ascii="SimSun" w:hAnsi="SimSun" w:eastAsiaTheme="minorEastAsia" w:cs="SimSun"/>
          <w:color w:val="000000"/>
          <w:spacing w:val="1"/>
          <w:sz w:val="21"/>
          <w:szCs w:val="22"/>
          <w:lang w:val="en-US" w:eastAsia="en-US" w:bidi="ar-SA"/>
        </w:rPr>
        <w:t>股）</w:t>
      </w:r>
    </w:p>
    <w:p>
      <w:pPr>
        <w:framePr w:w="2880" w:x="912" w:y="9589"/>
        <w:widowControl w:val="0"/>
        <w:autoSpaceDE w:val="0"/>
        <w:autoSpaceDN w:val="0"/>
        <w:spacing w:before="110"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稀释每股收益（元</w:t>
      </w:r>
      <w:r>
        <w:rPr>
          <w:rFonts w:ascii="SimSun" w:eastAsiaTheme="minorEastAsia" w:hAnsiTheme="minorHAnsi" w:cstheme="minorBidi"/>
          <w:color w:val="000000"/>
          <w:spacing w:val="-2"/>
          <w:sz w:val="21"/>
          <w:szCs w:val="22"/>
          <w:lang w:val="en-US" w:eastAsia="en-US" w:bidi="ar-SA"/>
        </w:rPr>
        <w:t>/</w:t>
      </w:r>
      <w:r>
        <w:rPr>
          <w:rFonts w:ascii="SimSun" w:hAnsi="SimSun" w:eastAsiaTheme="minorEastAsia" w:cs="SimSun"/>
          <w:color w:val="000000"/>
          <w:spacing w:val="1"/>
          <w:sz w:val="21"/>
          <w:szCs w:val="22"/>
          <w:lang w:val="en-US" w:eastAsia="en-US" w:bidi="ar-SA"/>
        </w:rPr>
        <w:t>股）</w:t>
      </w:r>
    </w:p>
    <w:p>
      <w:pPr>
        <w:framePr w:w="662" w:x="5526" w:y="9589"/>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1.21</w:t>
      </w:r>
    </w:p>
    <w:p>
      <w:pPr>
        <w:framePr w:w="662" w:x="5526" w:y="9589"/>
        <w:widowControl w:val="0"/>
        <w:autoSpaceDE w:val="0"/>
        <w:autoSpaceDN w:val="0"/>
        <w:spacing w:before="110"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0.13</w:t>
      </w:r>
    </w:p>
    <w:p>
      <w:pPr>
        <w:framePr w:w="662" w:x="5526" w:y="9589"/>
        <w:widowControl w:val="0"/>
        <w:autoSpaceDE w:val="0"/>
        <w:autoSpaceDN w:val="0"/>
        <w:spacing w:before="110"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0.13</w:t>
      </w:r>
    </w:p>
    <w:p>
      <w:pPr>
        <w:framePr w:w="662" w:x="8075" w:y="9589"/>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1.59</w:t>
      </w:r>
    </w:p>
    <w:p>
      <w:pPr>
        <w:framePr w:w="662" w:x="8075" w:y="9589"/>
        <w:widowControl w:val="0"/>
        <w:autoSpaceDE w:val="0"/>
        <w:autoSpaceDN w:val="0"/>
        <w:spacing w:before="110"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0.16</w:t>
      </w:r>
    </w:p>
    <w:p>
      <w:pPr>
        <w:framePr w:w="662" w:x="8075" w:y="9589"/>
        <w:widowControl w:val="0"/>
        <w:autoSpaceDE w:val="0"/>
        <w:autoSpaceDN w:val="0"/>
        <w:spacing w:before="110"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0.16</w:t>
      </w:r>
    </w:p>
    <w:p>
      <w:pPr>
        <w:framePr w:w="2028" w:x="8846" w:y="9589"/>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减少</w:t>
      </w:r>
      <w:r>
        <w:rPr>
          <w:rFonts w:eastAsiaTheme="minorEastAsia" w:hAnsiTheme="minorHAnsi" w:cstheme="minorBidi"/>
          <w:color w:val="000000"/>
          <w:sz w:val="21"/>
          <w:szCs w:val="22"/>
          <w:lang w:val="en-US" w:eastAsia="en-US" w:bidi="ar-SA"/>
        </w:rPr>
        <w:t xml:space="preserve"> </w:t>
      </w:r>
      <w:r>
        <w:rPr>
          <w:rFonts w:ascii="SimSun" w:eastAsiaTheme="minorEastAsia" w:hAnsiTheme="minorHAnsi" w:cstheme="minorBidi"/>
          <w:color w:val="000000"/>
          <w:sz w:val="21"/>
          <w:szCs w:val="22"/>
          <w:lang w:val="en-US" w:eastAsia="en-US" w:bidi="ar-SA"/>
        </w:rPr>
        <w:t>0.38</w:t>
      </w:r>
      <w:r>
        <w:rPr>
          <w:rFonts w:ascii="SimSun" w:hAnsi="SimSun" w:eastAsiaTheme="minorEastAsia" w:cs="SimSun"/>
          <w:color w:val="000000"/>
          <w:sz w:val="21"/>
          <w:szCs w:val="22"/>
          <w:lang w:val="en-US" w:eastAsia="en-US" w:bidi="ar-SA"/>
        </w:rPr>
        <w:t>个百分点</w:t>
      </w:r>
    </w:p>
    <w:p>
      <w:pPr>
        <w:framePr w:w="2028" w:x="8846" w:y="9589"/>
        <w:widowControl w:val="0"/>
        <w:autoSpaceDE w:val="0"/>
        <w:autoSpaceDN w:val="0"/>
        <w:spacing w:before="110" w:line="211" w:lineRule="exact"/>
        <w:ind w:left="1154"/>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-18.75</w:t>
      </w:r>
    </w:p>
    <w:p>
      <w:pPr>
        <w:framePr w:w="874" w:x="10000" w:y="10232"/>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-18.75</w:t>
      </w:r>
    </w:p>
    <w:p>
      <w:pPr>
        <w:framePr w:w="2563" w:x="1798" w:y="11098"/>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非经常性损益项目和金额</w:t>
      </w:r>
    </w:p>
    <w:p>
      <w:pPr>
        <w:framePr w:w="2563" w:x="1798" w:y="11098"/>
        <w:widowControl w:val="0"/>
        <w:autoSpaceDE w:val="0"/>
        <w:autoSpaceDN w:val="0"/>
        <w:spacing w:before="413"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√适用</w:t>
      </w:r>
      <w:r>
        <w:rPr>
          <w:rFonts w:eastAsiaTheme="minorEastAsia" w:hAnsiTheme="minorHAnsi" w:cstheme="minorBidi"/>
          <w:color w:val="000000"/>
          <w:spacing w:val="51"/>
          <w:sz w:val="21"/>
          <w:szCs w:val="22"/>
          <w:lang w:val="en-US" w:eastAsia="en-US" w:bidi="ar-SA"/>
        </w:rPr>
        <w:t xml:space="preserve"> </w:t>
      </w:r>
      <w:r>
        <w:rPr>
          <w:rFonts w:ascii="SimSun" w:hAnsi="SimSun" w:eastAsiaTheme="minorEastAsia" w:cs="SimSun"/>
          <w:color w:val="000000"/>
          <w:sz w:val="21"/>
          <w:szCs w:val="22"/>
          <w:lang w:val="en-US" w:eastAsia="en-US" w:bidi="ar-SA"/>
        </w:rPr>
        <w:t>□不适用</w:t>
      </w:r>
    </w:p>
    <w:p>
      <w:pPr>
        <w:framePr w:w="2554" w:x="8320" w:y="12248"/>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单位：元</w:t>
      </w:r>
      <w:r>
        <w:rPr>
          <w:rFonts w:eastAsiaTheme="minorEastAsia" w:hAnsiTheme="minorHAnsi" w:cstheme="minorBidi"/>
          <w:color w:val="000000"/>
          <w:spacing w:val="157"/>
          <w:sz w:val="21"/>
          <w:szCs w:val="22"/>
          <w:lang w:val="en-US" w:eastAsia="en-US" w:bidi="ar-SA"/>
        </w:rPr>
        <w:t xml:space="preserve"> </w:t>
      </w:r>
      <w:r>
        <w:rPr>
          <w:rFonts w:ascii="SimSun" w:hAnsi="SimSun" w:eastAsiaTheme="minorEastAsia" w:cs="SimSun"/>
          <w:color w:val="000000"/>
          <w:sz w:val="21"/>
          <w:szCs w:val="22"/>
          <w:lang w:val="en-US" w:eastAsia="en-US" w:bidi="ar-SA"/>
        </w:rPr>
        <w:t>币种：人民币</w:t>
      </w:r>
    </w:p>
    <w:p>
      <w:pPr>
        <w:framePr w:w="2554" w:x="8320" w:y="12248"/>
        <w:widowControl w:val="0"/>
        <w:autoSpaceDE w:val="0"/>
        <w:autoSpaceDN w:val="0"/>
        <w:spacing w:before="94" w:line="211" w:lineRule="exact"/>
        <w:ind w:left="144"/>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本期金额</w:t>
      </w:r>
      <w:r>
        <w:rPr>
          <w:rFonts w:eastAsiaTheme="minorEastAsia" w:hAnsiTheme="minorHAnsi" w:cstheme="minorBidi"/>
          <w:color w:val="000000"/>
          <w:spacing w:val="806"/>
          <w:sz w:val="21"/>
          <w:szCs w:val="22"/>
          <w:lang w:val="en-US" w:eastAsia="en-US" w:bidi="ar-SA"/>
        </w:rPr>
        <w:t xml:space="preserve"> </w:t>
      </w:r>
      <w:r>
        <w:rPr>
          <w:rFonts w:ascii="SimSun" w:hAnsi="SimSun" w:eastAsiaTheme="minorEastAsia" w:cs="SimSun"/>
          <w:color w:val="000000"/>
          <w:spacing w:val="1"/>
          <w:sz w:val="21"/>
          <w:szCs w:val="22"/>
          <w:lang w:val="en-US" w:eastAsia="en-US" w:bidi="ar-SA"/>
        </w:rPr>
        <w:t>说明</w:t>
      </w:r>
    </w:p>
    <w:p>
      <w:pPr>
        <w:framePr w:w="2554" w:x="8320" w:y="12248"/>
        <w:widowControl w:val="0"/>
        <w:autoSpaceDE w:val="0"/>
        <w:autoSpaceDN w:val="0"/>
        <w:spacing w:before="110" w:line="211" w:lineRule="exact"/>
        <w:ind w:left="394"/>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-40,758.09</w:t>
      </w:r>
    </w:p>
    <w:p>
      <w:pPr>
        <w:framePr w:w="662" w:x="4208" w:y="12553"/>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项目</w:t>
      </w:r>
    </w:p>
    <w:p>
      <w:pPr>
        <w:framePr w:w="2141" w:x="1054" w:y="12875"/>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非流动资产处置损益</w:t>
      </w:r>
    </w:p>
    <w:p>
      <w:pPr>
        <w:framePr w:w="6998" w:x="1054" w:y="13197"/>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越权审批，或无正式批准文件，或偶发性的税收返还、减免</w:t>
      </w:r>
    </w:p>
    <w:p>
      <w:pPr>
        <w:framePr w:w="6998" w:x="1054" w:y="13197"/>
        <w:widowControl w:val="0"/>
        <w:autoSpaceDE w:val="0"/>
        <w:autoSpaceDN w:val="0"/>
        <w:spacing w:before="110"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计入当期损益的政府补助，但与公司正常经营业务密切相关，符合国家政</w:t>
      </w:r>
    </w:p>
    <w:p>
      <w:pPr>
        <w:framePr w:w="6998" w:x="1054" w:y="13197"/>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策规定、按照一定标准定额或定量持续享受的政府补助除外</w:t>
      </w:r>
    </w:p>
    <w:p>
      <w:pPr>
        <w:framePr w:w="6998" w:x="1054" w:y="13197"/>
        <w:widowControl w:val="0"/>
        <w:autoSpaceDE w:val="0"/>
        <w:autoSpaceDN w:val="0"/>
        <w:spacing w:before="110"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计入当期损益的对非金融企业收取的资金占用费</w:t>
      </w:r>
    </w:p>
    <w:p>
      <w:pPr>
        <w:framePr w:w="1296" w:x="8713" w:y="13518"/>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295,997.91</w:t>
      </w:r>
    </w:p>
    <w:p>
      <w:pPr>
        <w:framePr w:w="6998" w:x="1054" w:y="14476"/>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企业取得子公司、联营企业及合营企业的投资成本小于取得投资时应享有</w:t>
      </w:r>
    </w:p>
    <w:p>
      <w:pPr>
        <w:framePr w:w="6998" w:x="1054" w:y="14476"/>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被投资单位可辨认净资产公允价值产生的收益</w:t>
      </w:r>
    </w:p>
    <w:p>
      <w:pPr>
        <w:framePr w:w="690" w:x="5989" w:y="15388"/>
        <w:widowControl w:val="0"/>
        <w:autoSpaceDE w:val="0"/>
        <w:autoSpaceDN w:val="0"/>
        <w:spacing w:line="180" w:lineRule="exact"/>
        <w:rPr>
          <w:rFonts w:ascii="SimSun" w:eastAsiaTheme="minorEastAsia" w:hAnsiTheme="minorHAnsi" w:cstheme="minorBidi"/>
          <w:color w:val="000000"/>
          <w:sz w:val="18"/>
          <w:szCs w:val="22"/>
          <w:lang w:val="en-US" w:eastAsia="en-US" w:bidi="ar-SA"/>
        </w:rPr>
      </w:pPr>
      <w:r>
        <w:rPr>
          <w:rFonts w:ascii="SimSun" w:eastAsiaTheme="minorEastAsia" w:hAnsiTheme="minorHAnsi" w:cstheme="minorBidi"/>
          <w:color w:val="000000"/>
          <w:sz w:val="18"/>
          <w:szCs w:val="22"/>
          <w:lang w:val="en-US" w:eastAsia="en-US" w:bidi="ar-SA"/>
        </w:rPr>
        <w:t>2</w:t>
      </w:r>
      <w:r>
        <w:rPr>
          <w:rFonts w:ascii="SimSun" w:eastAsiaTheme="minorEastAsia" w:hAnsiTheme="minorHAnsi" w:cstheme="minorBidi"/>
          <w:color w:val="000000"/>
          <w:spacing w:val="2"/>
          <w:sz w:val="18"/>
          <w:szCs w:val="22"/>
          <w:lang w:val="en-US" w:eastAsia="en-US" w:bidi="ar-SA"/>
        </w:rPr>
        <w:t xml:space="preserve"> </w:t>
      </w:r>
      <w:r>
        <w:rPr>
          <w:rFonts w:ascii="SimSun" w:eastAsiaTheme="minorEastAsia" w:hAnsiTheme="minorHAnsi" w:cstheme="minorBidi"/>
          <w:color w:val="000000"/>
          <w:sz w:val="18"/>
          <w:szCs w:val="22"/>
          <w:lang w:val="en-US" w:eastAsia="en-US" w:bidi="ar-SA"/>
        </w:rPr>
        <w:t>/</w:t>
      </w:r>
      <w:r>
        <w:rPr>
          <w:rFonts w:ascii="SimSun" w:eastAsiaTheme="minorEastAsia" w:hAnsiTheme="minorHAnsi" w:cstheme="minorBidi"/>
          <w:color w:val="000000"/>
          <w:spacing w:val="-2"/>
          <w:sz w:val="18"/>
          <w:szCs w:val="22"/>
          <w:lang w:val="en-US" w:eastAsia="en-US" w:bidi="ar-SA"/>
        </w:rPr>
        <w:t xml:space="preserve"> </w:t>
      </w:r>
      <w:r>
        <w:rPr>
          <w:rFonts w:ascii="SimSun" w:eastAsiaTheme="minorEastAsia" w:hAnsiTheme="minorHAnsi" w:cstheme="minorBidi"/>
          <w:color w:val="000000"/>
          <w:sz w:val="18"/>
          <w:szCs w:val="22"/>
          <w:lang w:val="en-US" w:eastAsia="en-US" w:bidi="ar-SA"/>
        </w:rPr>
        <w:t>6</w:t>
      </w:r>
    </w:p>
    <w:p>
      <w:pPr>
        <w:spacing w:line="0" w:lineRule="atLeast"/>
        <w:rPr>
          <w:rFonts w:ascii="Arial" w:eastAsiaTheme="minorEastAsia" w:hAnsiTheme="minorHAnsi" w:cstheme="minorBidi"/>
          <w:color w:val="FF0000"/>
          <w:sz w:val="2"/>
          <w:szCs w:val="22"/>
          <w:lang w:val="en-US" w:eastAsia="en-US" w:bidi="ar-SA"/>
        </w:rPr>
        <w:sectPr>
          <w:pgSz w:w="11900" w:h="16820"/>
          <w:pgMar w:top="0" w:right="0" w:bottom="0" w:left="0" w:header="720" w:footer="720" w:gutter="0"/>
          <w:pgNumType w:start="1"/>
          <w:cols w:sep="0" w:space="720"/>
          <w:docGrid w:linePitch="1"/>
        </w:sectPr>
      </w:pPr>
      <w:r>
        <w:rPr>
          <w:noProof/>
        </w:rPr>
        <w:pict>
          <v:shape id="_x0000_s1026" type="#_x0000_t75" style="width:445.6pt;height:2.7pt;margin-top:53.3pt;margin-left:87.45pt;mso-position-horizontal-relative:page;mso-position-vertical-relative:page;position:absolute;z-index:-251646976">
            <v:imagedata r:id="rId5" o:title=""/>
          </v:shape>
        </w:pict>
      </w:r>
      <w:r>
        <w:rPr>
          <w:noProof/>
        </w:rPr>
        <w:pict>
          <v:shape id="_x0000_s1027" type="#_x0000_t75" style="width:499.25pt;height:223.2pt;margin-top:302.95pt;margin-left:38.95pt;mso-position-horizontal-relative:page;mso-position-vertical-relative:page;position:absolute;z-index:-251652096">
            <v:imagedata r:id="rId6" o:title=""/>
          </v:shape>
        </w:pict>
      </w:r>
      <w:r>
        <w:rPr>
          <w:noProof/>
        </w:rPr>
        <w:pict>
          <v:shape id="_x0000_s1028" type="#_x0000_t75" style="width:498.8pt;height:130.3pt;margin-top:623.6pt;margin-left:46.05pt;mso-position-horizontal-relative:page;mso-position-vertical-relative:page;position:absolute;z-index:-251657216">
            <v:imagedata r:id="rId7" o:title=""/>
          </v:shape>
        </w:pict>
      </w:r>
    </w:p>
    <w:p>
      <w:pPr>
        <w:spacing w:line="0" w:lineRule="atLeast"/>
        <w:rPr>
          <w:rFonts w:ascii="Arial" w:eastAsiaTheme="minorEastAsia" w:hAnsiTheme="minorHAnsi" w:cstheme="minorBidi"/>
          <w:color w:val="FF0000"/>
          <w:sz w:val="2"/>
          <w:szCs w:val="22"/>
          <w:lang w:val="en-US" w:eastAsia="en-US" w:bidi="ar-SA"/>
        </w:rPr>
      </w:pPr>
      <w:bookmarkStart w:id="2" w:name="br1_1"/>
      <w:bookmarkEnd w:id="2"/>
      <w:r>
        <w:rPr>
          <w:rFonts w:ascii="Arial" w:eastAsiaTheme="minorEastAsia" w:hAnsiTheme="minorHAnsi" w:cstheme="minorBidi"/>
          <w:color w:val="FF0000"/>
          <w:sz w:val="2"/>
          <w:szCs w:val="22"/>
          <w:lang w:val="en-US" w:eastAsia="en-US" w:bidi="ar-SA"/>
        </w:rPr>
        <w:t xml:space="preserve"> </w:t>
      </w:r>
    </w:p>
    <w:p>
      <w:pPr>
        <w:framePr w:w="1934" w:x="5355" w:y="859"/>
        <w:widowControl w:val="0"/>
        <w:autoSpaceDE w:val="0"/>
        <w:autoSpaceDN w:val="0"/>
        <w:spacing w:line="180" w:lineRule="exact"/>
        <w:rPr>
          <w:rFonts w:eastAsiaTheme="minorEastAsia" w:hAnsiTheme="minorHAnsi" w:cstheme="minorBidi"/>
          <w:color w:val="000000"/>
          <w:sz w:val="18"/>
          <w:szCs w:val="22"/>
          <w:lang w:val="en-US" w:eastAsia="en-US" w:bidi="ar-SA"/>
        </w:rPr>
      </w:pPr>
      <w:r>
        <w:rPr>
          <w:rFonts w:ascii="SimSun" w:eastAsiaTheme="minorEastAsia" w:hAnsiTheme="minorHAnsi" w:cstheme="minorBidi"/>
          <w:color w:val="000000"/>
          <w:spacing w:val="3"/>
          <w:sz w:val="18"/>
          <w:szCs w:val="22"/>
          <w:lang w:val="en-US" w:eastAsia="en-US" w:bidi="ar-SA"/>
        </w:rPr>
        <w:t>2021</w:t>
      </w:r>
      <w:r>
        <w:rPr>
          <w:rFonts w:ascii="SimSun" w:hAnsi="SimSun" w:eastAsiaTheme="minorEastAsia" w:cs="SimSun"/>
          <w:color w:val="000000"/>
          <w:spacing w:val="2"/>
          <w:sz w:val="18"/>
          <w:szCs w:val="22"/>
          <w:lang w:val="en-US" w:eastAsia="en-US" w:bidi="ar-SA"/>
        </w:rPr>
        <w:t>年第一季度报告</w:t>
      </w:r>
    </w:p>
    <w:p>
      <w:pPr>
        <w:framePr w:w="2352" w:x="1054" w:y="1569"/>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非货币性资产交换损益</w:t>
      </w:r>
    </w:p>
    <w:p>
      <w:pPr>
        <w:framePr w:w="3197" w:x="1054" w:y="1891"/>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委托他人投资或管理资产的损益</w:t>
      </w:r>
    </w:p>
    <w:p>
      <w:pPr>
        <w:framePr w:w="1507" w:x="8505" w:y="1891"/>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1,426,435.72</w:t>
      </w:r>
    </w:p>
    <w:p>
      <w:pPr>
        <w:framePr w:w="5942" w:x="1054" w:y="2213"/>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因不可抗力因素，如遭受自然灾害而计提的各项资产减值准备</w:t>
      </w:r>
    </w:p>
    <w:p>
      <w:pPr>
        <w:framePr w:w="5942" w:x="1054" w:y="2213"/>
        <w:widowControl w:val="0"/>
        <w:autoSpaceDE w:val="0"/>
        <w:autoSpaceDN w:val="0"/>
        <w:spacing w:before="110"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债务重组损益</w:t>
      </w:r>
    </w:p>
    <w:p>
      <w:pPr>
        <w:framePr w:w="7210" w:x="1054" w:y="2856"/>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企业重组费用，如安置职工的支出、整合费用等</w:t>
      </w:r>
    </w:p>
    <w:p>
      <w:pPr>
        <w:framePr w:w="7210" w:x="1054" w:y="2856"/>
        <w:widowControl w:val="0"/>
        <w:autoSpaceDE w:val="0"/>
        <w:autoSpaceDN w:val="0"/>
        <w:spacing w:before="110"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交易价格显失公允的交易产生的超过公允价值部分的损益</w:t>
      </w:r>
    </w:p>
    <w:p>
      <w:pPr>
        <w:framePr w:w="7210" w:x="1054" w:y="2856"/>
        <w:widowControl w:val="0"/>
        <w:autoSpaceDE w:val="0"/>
        <w:autoSpaceDN w:val="0"/>
        <w:spacing w:before="113"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同一控制下企业合并产生的子公司期初至合并日的当期净损益</w:t>
      </w:r>
    </w:p>
    <w:p>
      <w:pPr>
        <w:framePr w:w="7210" w:x="1054" w:y="2856"/>
        <w:widowControl w:val="0"/>
        <w:autoSpaceDE w:val="0"/>
        <w:autoSpaceDN w:val="0"/>
        <w:spacing w:before="110"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与公司正常经营业务无关的或有事项产生的损益</w:t>
      </w:r>
    </w:p>
    <w:p>
      <w:pPr>
        <w:framePr w:w="7210" w:x="1054" w:y="2856"/>
        <w:widowControl w:val="0"/>
        <w:autoSpaceDE w:val="0"/>
        <w:autoSpaceDN w:val="0"/>
        <w:spacing w:before="110"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3"/>
          <w:sz w:val="21"/>
          <w:szCs w:val="22"/>
          <w:lang w:val="en-US" w:eastAsia="en-US" w:bidi="ar-SA"/>
        </w:rPr>
        <w:t>除同公司正常经营业务相关的有效套期保值业务外，持有交易性金融资产、</w:t>
      </w:r>
    </w:p>
    <w:p>
      <w:pPr>
        <w:framePr w:w="7210" w:x="1054" w:y="2856"/>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3"/>
          <w:sz w:val="21"/>
          <w:szCs w:val="22"/>
          <w:lang w:val="en-US" w:eastAsia="en-US" w:bidi="ar-SA"/>
        </w:rPr>
        <w:t>衍生金融资产、交易性金融负债、衍生金融负债产生的公允价值变动损益，</w:t>
      </w:r>
    </w:p>
    <w:p>
      <w:pPr>
        <w:framePr w:w="7210" w:x="1054" w:y="2856"/>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以及处置交易性金融资产、衍生金融资产、交易性金融负债、衍生金融负</w:t>
      </w:r>
    </w:p>
    <w:p>
      <w:pPr>
        <w:framePr w:w="7210" w:x="1054" w:y="2856"/>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债和其他债权投资取得的投资收益</w:t>
      </w:r>
    </w:p>
    <w:p>
      <w:pPr>
        <w:framePr w:w="1402" w:x="8615" w:y="4144"/>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-987,372.46</w:t>
      </w:r>
    </w:p>
    <w:p>
      <w:pPr>
        <w:framePr w:w="5309" w:x="1054" w:y="5403"/>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单独进行减值测试的应收款项、合同资产减值准备转回</w:t>
      </w:r>
    </w:p>
    <w:p>
      <w:pPr>
        <w:framePr w:w="5309" w:x="1054" w:y="5403"/>
        <w:widowControl w:val="0"/>
        <w:autoSpaceDE w:val="0"/>
        <w:autoSpaceDN w:val="0"/>
        <w:spacing w:before="110"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对外委托贷款取得的损益</w:t>
      </w:r>
    </w:p>
    <w:p>
      <w:pPr>
        <w:framePr w:w="6998" w:x="1054" w:y="6046"/>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采用公允价值模式进行后续计量的投资性房地产公允价值变动产生的损益</w:t>
      </w:r>
    </w:p>
    <w:p>
      <w:pPr>
        <w:framePr w:w="6998" w:x="1054" w:y="6046"/>
        <w:widowControl w:val="0"/>
        <w:autoSpaceDE w:val="0"/>
        <w:autoSpaceDN w:val="0"/>
        <w:spacing w:before="113"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根据税收、会计等法律、法规的要求对当期损益进行一次性调整对当期损</w:t>
      </w:r>
    </w:p>
    <w:p>
      <w:pPr>
        <w:framePr w:w="6998" w:x="1054" w:y="6046"/>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益的影响</w:t>
      </w:r>
    </w:p>
    <w:p>
      <w:pPr>
        <w:framePr w:w="2774" w:x="1054" w:y="7003"/>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受托经营取得的托管费收入</w:t>
      </w:r>
    </w:p>
    <w:p>
      <w:pPr>
        <w:framePr w:w="4042" w:x="1054" w:y="7325"/>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除上述各项之外的其他营业外收入和支出</w:t>
      </w:r>
    </w:p>
    <w:p>
      <w:pPr>
        <w:framePr w:w="4042" w:x="1054" w:y="7325"/>
        <w:widowControl w:val="0"/>
        <w:autoSpaceDE w:val="0"/>
        <w:autoSpaceDN w:val="0"/>
        <w:spacing w:before="110"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其他符合非经常性损益定义的损益项目</w:t>
      </w:r>
    </w:p>
    <w:p>
      <w:pPr>
        <w:framePr w:w="1296" w:x="8713" w:y="7325"/>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377,608.65</w:t>
      </w:r>
    </w:p>
    <w:p>
      <w:pPr>
        <w:framePr w:w="1296" w:x="8713" w:y="7325"/>
        <w:widowControl w:val="0"/>
        <w:autoSpaceDE w:val="0"/>
        <w:autoSpaceDN w:val="0"/>
        <w:spacing w:before="110" w:line="211" w:lineRule="exact"/>
        <w:ind w:left="212"/>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7,615.62</w:t>
      </w:r>
    </w:p>
    <w:p>
      <w:pPr>
        <w:framePr w:w="2986" w:x="1054" w:y="7968"/>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少数股东权益影响额（税后）</w:t>
      </w:r>
    </w:p>
    <w:p>
      <w:pPr>
        <w:framePr w:w="1507" w:x="1054" w:y="8290"/>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所得税影响额</w:t>
      </w:r>
    </w:p>
    <w:p>
      <w:pPr>
        <w:framePr w:w="1402" w:x="8615" w:y="8290"/>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-231,369.57</w:t>
      </w:r>
    </w:p>
    <w:p>
      <w:pPr>
        <w:framePr w:w="1402" w:x="8615" w:y="8290"/>
        <w:widowControl w:val="0"/>
        <w:autoSpaceDE w:val="0"/>
        <w:autoSpaceDN w:val="0"/>
        <w:spacing w:before="113" w:line="211" w:lineRule="exact"/>
        <w:ind w:left="103"/>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848,157.78</w:t>
      </w:r>
    </w:p>
    <w:p>
      <w:pPr>
        <w:framePr w:w="662" w:x="4208" w:y="8614"/>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合计</w:t>
      </w:r>
    </w:p>
    <w:p>
      <w:pPr>
        <w:framePr w:w="8984" w:x="1798" w:y="9092"/>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2.2</w:t>
      </w:r>
      <w:r>
        <w:rPr>
          <w:rFonts w:ascii="SimSun" w:eastAsiaTheme="minorEastAsia" w:hAnsiTheme="minorHAnsi" w:cstheme="minorBidi"/>
          <w:color w:val="000000"/>
          <w:spacing w:val="125"/>
          <w:sz w:val="21"/>
          <w:szCs w:val="22"/>
          <w:lang w:val="en-US" w:eastAsia="en-US" w:bidi="ar-SA"/>
        </w:rPr>
        <w:t xml:space="preserve"> </w:t>
      </w:r>
      <w:r>
        <w:rPr>
          <w:rFonts w:ascii="SimSun" w:hAnsi="SimSun" w:eastAsiaTheme="minorEastAsia" w:cs="SimSun"/>
          <w:color w:val="000000"/>
          <w:sz w:val="21"/>
          <w:szCs w:val="22"/>
          <w:lang w:val="en-US" w:eastAsia="en-US" w:bidi="ar-SA"/>
        </w:rPr>
        <w:t>截止报告期末的股东总数、前十名股东、前十名流通股东（或无限售条件股东）持股情况</w:t>
      </w:r>
    </w:p>
    <w:p>
      <w:pPr>
        <w:framePr w:w="451" w:x="2218" w:y="9404"/>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表</w:t>
      </w:r>
    </w:p>
    <w:p>
      <w:pPr>
        <w:framePr w:w="1085" w:x="9792" w:y="9872"/>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单位：股</w:t>
      </w:r>
    </w:p>
    <w:p>
      <w:pPr>
        <w:framePr w:w="1718" w:x="912" w:y="10193"/>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股东总数（户）</w:t>
      </w:r>
    </w:p>
    <w:p>
      <w:pPr>
        <w:framePr w:w="768" w:x="10521" w:y="10193"/>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9,217</w:t>
      </w:r>
    </w:p>
    <w:p>
      <w:pPr>
        <w:framePr w:w="2141" w:x="5034" w:y="10515"/>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前十名股东持股情况</w:t>
      </w:r>
    </w:p>
    <w:p>
      <w:pPr>
        <w:framePr w:w="1085" w:x="4244" w:y="10842"/>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期末持股</w:t>
      </w:r>
    </w:p>
    <w:p>
      <w:pPr>
        <w:framePr w:w="1085" w:x="4244" w:y="10842"/>
        <w:widowControl w:val="0"/>
        <w:autoSpaceDE w:val="0"/>
        <w:autoSpaceDN w:val="0"/>
        <w:spacing w:before="101" w:line="211" w:lineRule="exact"/>
        <w:ind w:left="211"/>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数量</w:t>
      </w:r>
    </w:p>
    <w:p>
      <w:pPr>
        <w:framePr w:w="662" w:x="5559" w:y="10842"/>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比例</w:t>
      </w:r>
    </w:p>
    <w:p>
      <w:pPr>
        <w:framePr w:w="1507" w:x="6304" w:y="10842"/>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持有有限售条</w:t>
      </w:r>
    </w:p>
    <w:p>
      <w:pPr>
        <w:framePr w:w="1507" w:x="6304" w:y="10842"/>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件股份数量</w:t>
      </w:r>
    </w:p>
    <w:p>
      <w:pPr>
        <w:framePr w:w="1718" w:x="7960" w:y="10837"/>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质押或冻结情况</w:t>
      </w:r>
    </w:p>
    <w:p>
      <w:pPr>
        <w:framePr w:w="1930" w:x="1553" w:y="10998"/>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股东名称（全称）</w:t>
      </w:r>
    </w:p>
    <w:p>
      <w:pPr>
        <w:framePr w:w="1085" w:x="9974" w:y="10998"/>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股东性质</w:t>
      </w:r>
    </w:p>
    <w:p>
      <w:pPr>
        <w:framePr w:w="557" w:x="5612" w:y="11153"/>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w:t>
      </w:r>
    </w:p>
    <w:p>
      <w:pPr>
        <w:framePr w:w="1815" w:x="7900" w:y="11158"/>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股份状态</w:t>
      </w:r>
      <w:r>
        <w:rPr>
          <w:rFonts w:eastAsiaTheme="minorEastAsia" w:hAnsiTheme="minorHAnsi" w:cstheme="minorBidi"/>
          <w:color w:val="000000"/>
          <w:spacing w:val="258"/>
          <w:sz w:val="21"/>
          <w:szCs w:val="22"/>
          <w:lang w:val="en-US" w:eastAsia="en-US" w:bidi="ar-SA"/>
        </w:rPr>
        <w:t xml:space="preserve"> </w:t>
      </w:r>
      <w:r>
        <w:rPr>
          <w:rFonts w:ascii="SimSun" w:hAnsi="SimSun" w:eastAsiaTheme="minorEastAsia" w:cs="SimSun"/>
          <w:color w:val="000000"/>
          <w:spacing w:val="1"/>
          <w:sz w:val="21"/>
          <w:szCs w:val="22"/>
          <w:lang w:val="en-US" w:eastAsia="en-US" w:bidi="ar-SA"/>
        </w:rPr>
        <w:t>数量</w:t>
      </w:r>
    </w:p>
    <w:p>
      <w:pPr>
        <w:framePr w:w="874" w:x="912" w:y="11482"/>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王现全</w:t>
      </w:r>
    </w:p>
    <w:p>
      <w:pPr>
        <w:framePr w:w="874" w:x="912" w:y="11482"/>
        <w:widowControl w:val="0"/>
        <w:autoSpaceDE w:val="0"/>
        <w:autoSpaceDN w:val="0"/>
        <w:spacing w:before="110"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陈鸣宇</w:t>
      </w:r>
    </w:p>
    <w:p>
      <w:pPr>
        <w:framePr w:w="2143" w:x="4187" w:y="11482"/>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52,552,091</w:t>
      </w:r>
      <w:r>
        <w:rPr>
          <w:rFonts w:ascii="SimSun" w:eastAsiaTheme="minorEastAsia" w:hAnsiTheme="minorHAnsi" w:cstheme="minorBidi"/>
          <w:color w:val="000000"/>
          <w:spacing w:val="217"/>
          <w:sz w:val="21"/>
          <w:szCs w:val="22"/>
          <w:lang w:val="en-US" w:eastAsia="en-US" w:bidi="ar-SA"/>
        </w:rPr>
        <w:t xml:space="preserve"> </w:t>
      </w:r>
      <w:r>
        <w:rPr>
          <w:rFonts w:ascii="SimSun" w:eastAsiaTheme="minorEastAsia" w:hAnsiTheme="minorHAnsi" w:cstheme="minorBidi"/>
          <w:color w:val="000000"/>
          <w:spacing w:val="1"/>
          <w:sz w:val="21"/>
          <w:szCs w:val="22"/>
          <w:lang w:val="en-US" w:eastAsia="en-US" w:bidi="ar-SA"/>
        </w:rPr>
        <w:t>33.16</w:t>
      </w:r>
    </w:p>
    <w:p>
      <w:pPr>
        <w:framePr w:w="2143" w:x="4187" w:y="11482"/>
        <w:widowControl w:val="0"/>
        <w:autoSpaceDE w:val="0"/>
        <w:autoSpaceDN w:val="0"/>
        <w:spacing w:before="110"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20,706,020</w:t>
      </w:r>
      <w:r>
        <w:rPr>
          <w:rFonts w:ascii="SimSun" w:eastAsiaTheme="minorEastAsia" w:hAnsiTheme="minorHAnsi" w:cstheme="minorBidi"/>
          <w:color w:val="000000"/>
          <w:spacing w:val="217"/>
          <w:sz w:val="21"/>
          <w:szCs w:val="22"/>
          <w:lang w:val="en-US" w:eastAsia="en-US" w:bidi="ar-SA"/>
        </w:rPr>
        <w:t xml:space="preserve"> </w:t>
      </w:r>
      <w:r>
        <w:rPr>
          <w:rFonts w:ascii="SimSun" w:eastAsiaTheme="minorEastAsia" w:hAnsiTheme="minorHAnsi" w:cstheme="minorBidi"/>
          <w:color w:val="000000"/>
          <w:spacing w:val="1"/>
          <w:sz w:val="21"/>
          <w:szCs w:val="22"/>
          <w:lang w:val="en-US" w:eastAsia="en-US" w:bidi="ar-SA"/>
        </w:rPr>
        <w:t>13.06</w:t>
      </w:r>
    </w:p>
    <w:p>
      <w:pPr>
        <w:framePr w:w="451" w:x="8214" w:y="11482"/>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无</w:t>
      </w:r>
    </w:p>
    <w:p>
      <w:pPr>
        <w:framePr w:w="451" w:x="8214" w:y="11482"/>
        <w:widowControl w:val="0"/>
        <w:autoSpaceDE w:val="0"/>
        <w:autoSpaceDN w:val="0"/>
        <w:spacing w:before="110"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无</w:t>
      </w:r>
    </w:p>
    <w:p>
      <w:pPr>
        <w:framePr w:w="1296" w:x="9868" w:y="11482"/>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境内自然人</w:t>
      </w:r>
    </w:p>
    <w:p>
      <w:pPr>
        <w:framePr w:w="1296" w:x="9868" w:y="11482"/>
        <w:widowControl w:val="0"/>
        <w:autoSpaceDE w:val="0"/>
        <w:autoSpaceDN w:val="0"/>
        <w:spacing w:before="110"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境内自然人</w:t>
      </w:r>
    </w:p>
    <w:p>
      <w:pPr>
        <w:framePr w:w="3132" w:x="912" w:y="12125"/>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建信基金－陈绪潇－建信鑫享</w:t>
      </w:r>
      <w:r>
        <w:rPr>
          <w:rFonts w:eastAsiaTheme="minorEastAsia" w:hAnsiTheme="minorHAnsi" w:cstheme="minorBidi"/>
          <w:color w:val="000000"/>
          <w:spacing w:val="1"/>
          <w:sz w:val="21"/>
          <w:szCs w:val="22"/>
          <w:lang w:val="en-US" w:eastAsia="en-US" w:bidi="ar-SA"/>
        </w:rPr>
        <w:t xml:space="preserve"> </w:t>
      </w:r>
      <w:r>
        <w:rPr>
          <w:rFonts w:ascii="SimSun" w:eastAsiaTheme="minorEastAsia" w:hAnsiTheme="minorHAnsi" w:cstheme="minorBidi"/>
          <w:color w:val="000000"/>
          <w:sz w:val="21"/>
          <w:szCs w:val="22"/>
          <w:lang w:val="en-US" w:eastAsia="en-US" w:bidi="ar-SA"/>
        </w:rPr>
        <w:t>4</w:t>
      </w:r>
    </w:p>
    <w:p>
      <w:pPr>
        <w:framePr w:w="3132" w:x="912" w:y="12125"/>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号单一资产管理计划</w:t>
      </w:r>
    </w:p>
    <w:p>
      <w:pPr>
        <w:framePr w:w="3132" w:x="912" w:y="12125"/>
        <w:widowControl w:val="0"/>
        <w:autoSpaceDE w:val="0"/>
        <w:autoSpaceDN w:val="0"/>
        <w:spacing w:before="110"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李壮</w:t>
      </w:r>
    </w:p>
    <w:p>
      <w:pPr>
        <w:framePr w:w="1190" w:x="4292" w:y="12282"/>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5,875,000</w:t>
      </w:r>
    </w:p>
    <w:p>
      <w:pPr>
        <w:framePr w:w="1190" w:x="4292" w:y="12282"/>
        <w:widowControl w:val="0"/>
        <w:autoSpaceDE w:val="0"/>
        <w:autoSpaceDN w:val="0"/>
        <w:spacing w:before="266"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3,717,923</w:t>
      </w:r>
    </w:p>
    <w:p>
      <w:pPr>
        <w:framePr w:w="1190" w:x="4292" w:y="12282"/>
        <w:widowControl w:val="0"/>
        <w:autoSpaceDE w:val="0"/>
        <w:autoSpaceDN w:val="0"/>
        <w:spacing w:before="266"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2,400,000</w:t>
      </w:r>
    </w:p>
    <w:p>
      <w:pPr>
        <w:framePr w:w="662" w:x="5667" w:y="12282"/>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3.71</w:t>
      </w:r>
    </w:p>
    <w:p>
      <w:pPr>
        <w:framePr w:w="662" w:x="5667" w:y="12282"/>
        <w:widowControl w:val="0"/>
        <w:autoSpaceDE w:val="0"/>
        <w:autoSpaceDN w:val="0"/>
        <w:spacing w:before="266"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2.35</w:t>
      </w:r>
    </w:p>
    <w:p>
      <w:pPr>
        <w:framePr w:w="662" w:x="5667" w:y="12282"/>
        <w:widowControl w:val="0"/>
        <w:autoSpaceDE w:val="0"/>
        <w:autoSpaceDN w:val="0"/>
        <w:spacing w:before="266"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1.51</w:t>
      </w:r>
    </w:p>
    <w:p>
      <w:pPr>
        <w:framePr w:w="451" w:x="8214" w:y="12282"/>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无</w:t>
      </w:r>
    </w:p>
    <w:p>
      <w:pPr>
        <w:framePr w:w="451" w:x="8214" w:y="12282"/>
        <w:widowControl w:val="0"/>
        <w:autoSpaceDE w:val="0"/>
        <w:autoSpaceDN w:val="0"/>
        <w:spacing w:before="266"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无</w:t>
      </w:r>
    </w:p>
    <w:p>
      <w:pPr>
        <w:framePr w:w="1296" w:x="9868" w:y="12282"/>
        <w:widowControl w:val="0"/>
        <w:autoSpaceDE w:val="0"/>
        <w:autoSpaceDN w:val="0"/>
        <w:spacing w:line="211" w:lineRule="exact"/>
        <w:ind w:left="317"/>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其他</w:t>
      </w:r>
    </w:p>
    <w:p>
      <w:pPr>
        <w:framePr w:w="1296" w:x="9868" w:y="12282"/>
        <w:widowControl w:val="0"/>
        <w:autoSpaceDE w:val="0"/>
        <w:autoSpaceDN w:val="0"/>
        <w:spacing w:before="266"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境内自然人</w:t>
      </w:r>
    </w:p>
    <w:p>
      <w:pPr>
        <w:framePr w:w="1296" w:x="9868" w:y="12282"/>
        <w:widowControl w:val="0"/>
        <w:autoSpaceDE w:val="0"/>
        <w:autoSpaceDN w:val="0"/>
        <w:spacing w:before="266" w:line="211" w:lineRule="exact"/>
        <w:ind w:left="317"/>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其他</w:t>
      </w:r>
    </w:p>
    <w:p>
      <w:pPr>
        <w:framePr w:w="3197" w:x="912" w:y="13081"/>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中国工商银行股份有限公司－国</w:t>
      </w:r>
    </w:p>
    <w:p>
      <w:pPr>
        <w:framePr w:w="3197" w:x="912" w:y="13081"/>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泰鑫睿混合型证券投资基金</w:t>
      </w:r>
    </w:p>
    <w:p>
      <w:pPr>
        <w:framePr w:w="3197" w:x="912" w:y="13081"/>
        <w:widowControl w:val="0"/>
        <w:autoSpaceDE w:val="0"/>
        <w:autoSpaceDN w:val="0"/>
        <w:spacing w:before="110"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王萍</w:t>
      </w:r>
    </w:p>
    <w:p>
      <w:pPr>
        <w:framePr w:w="662" w:x="8109" w:y="13237"/>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未知</w:t>
      </w:r>
    </w:p>
    <w:p>
      <w:pPr>
        <w:framePr w:w="1190" w:x="4292" w:y="13715"/>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2,270,000</w:t>
      </w:r>
    </w:p>
    <w:p>
      <w:pPr>
        <w:framePr w:w="1190" w:x="4292" w:y="13715"/>
        <w:widowControl w:val="0"/>
        <w:autoSpaceDE w:val="0"/>
        <w:autoSpaceDN w:val="0"/>
        <w:spacing w:before="113"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2,116,682</w:t>
      </w:r>
    </w:p>
    <w:p>
      <w:pPr>
        <w:framePr w:w="662" w:x="5667" w:y="13715"/>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1.43</w:t>
      </w:r>
    </w:p>
    <w:p>
      <w:pPr>
        <w:framePr w:w="662" w:x="5667" w:y="13715"/>
        <w:widowControl w:val="0"/>
        <w:autoSpaceDE w:val="0"/>
        <w:autoSpaceDN w:val="0"/>
        <w:spacing w:before="113"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1.34</w:t>
      </w:r>
    </w:p>
    <w:p>
      <w:pPr>
        <w:framePr w:w="662" w:x="8109" w:y="13715"/>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未知</w:t>
      </w:r>
    </w:p>
    <w:p>
      <w:pPr>
        <w:framePr w:w="662" w:x="8109" w:y="13715"/>
        <w:widowControl w:val="0"/>
        <w:autoSpaceDE w:val="0"/>
        <w:autoSpaceDN w:val="0"/>
        <w:spacing w:before="113" w:line="211" w:lineRule="exact"/>
        <w:ind w:left="106"/>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无</w:t>
      </w:r>
    </w:p>
    <w:p>
      <w:pPr>
        <w:framePr w:w="662" w:x="10185" w:y="13715"/>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未知</w:t>
      </w:r>
    </w:p>
    <w:p>
      <w:pPr>
        <w:framePr w:w="874" w:x="912" w:y="14039"/>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贾玉玲</w:t>
      </w:r>
    </w:p>
    <w:p>
      <w:pPr>
        <w:framePr w:w="1296" w:x="9868" w:y="14039"/>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境内自然人</w:t>
      </w:r>
    </w:p>
    <w:p>
      <w:pPr>
        <w:framePr w:w="3197" w:x="912" w:y="14360"/>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中国建设银行股份有限公司－国</w:t>
      </w:r>
    </w:p>
    <w:p>
      <w:pPr>
        <w:framePr w:w="3197" w:x="912" w:y="14360"/>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泰大农业股票型证券投资基金</w:t>
      </w:r>
    </w:p>
    <w:p>
      <w:pPr>
        <w:framePr w:w="3197" w:x="912" w:y="14360"/>
        <w:widowControl w:val="0"/>
        <w:autoSpaceDE w:val="0"/>
        <w:autoSpaceDN w:val="0"/>
        <w:spacing w:before="110"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孙利娟</w:t>
      </w:r>
    </w:p>
    <w:p>
      <w:pPr>
        <w:framePr w:w="1190" w:x="4292" w:y="14517"/>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1,936,136</w:t>
      </w:r>
    </w:p>
    <w:p>
      <w:pPr>
        <w:framePr w:w="1190" w:x="4292" w:y="14517"/>
        <w:widowControl w:val="0"/>
        <w:autoSpaceDE w:val="0"/>
        <w:autoSpaceDN w:val="0"/>
        <w:spacing w:before="266"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1,858,507</w:t>
      </w:r>
    </w:p>
    <w:p>
      <w:pPr>
        <w:framePr w:w="662" w:x="5667" w:y="14517"/>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1.22</w:t>
      </w:r>
    </w:p>
    <w:p>
      <w:pPr>
        <w:framePr w:w="662" w:x="5667" w:y="14517"/>
        <w:widowControl w:val="0"/>
        <w:autoSpaceDE w:val="0"/>
        <w:autoSpaceDN w:val="0"/>
        <w:spacing w:before="266"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1.17</w:t>
      </w:r>
    </w:p>
    <w:p>
      <w:pPr>
        <w:framePr w:w="662" w:x="8109" w:y="14517"/>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未知</w:t>
      </w:r>
    </w:p>
    <w:p>
      <w:pPr>
        <w:framePr w:w="662" w:x="8109" w:y="14517"/>
        <w:widowControl w:val="0"/>
        <w:autoSpaceDE w:val="0"/>
        <w:autoSpaceDN w:val="0"/>
        <w:spacing w:before="266" w:line="211" w:lineRule="exact"/>
        <w:ind w:left="106"/>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无</w:t>
      </w:r>
    </w:p>
    <w:p>
      <w:pPr>
        <w:framePr w:w="662" w:x="10185" w:y="14517"/>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其他</w:t>
      </w:r>
    </w:p>
    <w:p>
      <w:pPr>
        <w:framePr w:w="1296" w:x="9868" w:y="14994"/>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境内自然人</w:t>
      </w:r>
    </w:p>
    <w:p>
      <w:pPr>
        <w:framePr w:w="690" w:x="5989" w:y="15388"/>
        <w:widowControl w:val="0"/>
        <w:autoSpaceDE w:val="0"/>
        <w:autoSpaceDN w:val="0"/>
        <w:spacing w:line="180" w:lineRule="exact"/>
        <w:rPr>
          <w:rFonts w:ascii="SimSun" w:eastAsiaTheme="minorEastAsia" w:hAnsiTheme="minorHAnsi" w:cstheme="minorBidi"/>
          <w:color w:val="000000"/>
          <w:sz w:val="18"/>
          <w:szCs w:val="22"/>
          <w:lang w:val="en-US" w:eastAsia="en-US" w:bidi="ar-SA"/>
        </w:rPr>
      </w:pPr>
      <w:r>
        <w:rPr>
          <w:rFonts w:ascii="SimSun" w:eastAsiaTheme="minorEastAsia" w:hAnsiTheme="minorHAnsi" w:cstheme="minorBidi"/>
          <w:color w:val="000000"/>
          <w:sz w:val="18"/>
          <w:szCs w:val="22"/>
          <w:lang w:val="en-US" w:eastAsia="en-US" w:bidi="ar-SA"/>
        </w:rPr>
        <w:t>3</w:t>
      </w:r>
      <w:r>
        <w:rPr>
          <w:rFonts w:ascii="SimSun" w:eastAsiaTheme="minorEastAsia" w:hAnsiTheme="minorHAnsi" w:cstheme="minorBidi"/>
          <w:color w:val="000000"/>
          <w:spacing w:val="2"/>
          <w:sz w:val="18"/>
          <w:szCs w:val="22"/>
          <w:lang w:val="en-US" w:eastAsia="en-US" w:bidi="ar-SA"/>
        </w:rPr>
        <w:t xml:space="preserve"> </w:t>
      </w:r>
      <w:r>
        <w:rPr>
          <w:rFonts w:ascii="SimSun" w:eastAsiaTheme="minorEastAsia" w:hAnsiTheme="minorHAnsi" w:cstheme="minorBidi"/>
          <w:color w:val="000000"/>
          <w:sz w:val="18"/>
          <w:szCs w:val="22"/>
          <w:lang w:val="en-US" w:eastAsia="en-US" w:bidi="ar-SA"/>
        </w:rPr>
        <w:t>/</w:t>
      </w:r>
      <w:r>
        <w:rPr>
          <w:rFonts w:ascii="SimSun" w:eastAsiaTheme="minorEastAsia" w:hAnsiTheme="minorHAnsi" w:cstheme="minorBidi"/>
          <w:color w:val="000000"/>
          <w:spacing w:val="-2"/>
          <w:sz w:val="18"/>
          <w:szCs w:val="22"/>
          <w:lang w:val="en-US" w:eastAsia="en-US" w:bidi="ar-SA"/>
        </w:rPr>
        <w:t xml:space="preserve"> </w:t>
      </w:r>
      <w:r>
        <w:rPr>
          <w:rFonts w:ascii="SimSun" w:eastAsiaTheme="minorEastAsia" w:hAnsiTheme="minorHAnsi" w:cstheme="minorBidi"/>
          <w:color w:val="000000"/>
          <w:sz w:val="18"/>
          <w:szCs w:val="22"/>
          <w:lang w:val="en-US" w:eastAsia="en-US" w:bidi="ar-SA"/>
        </w:rPr>
        <w:t>6</w:t>
      </w:r>
    </w:p>
    <w:p>
      <w:pPr>
        <w:spacing w:line="0" w:lineRule="atLeast"/>
        <w:rPr>
          <w:rFonts w:ascii="Arial" w:eastAsiaTheme="minorEastAsia" w:hAnsiTheme="minorHAnsi" w:cstheme="minorBidi"/>
          <w:color w:val="FF0000"/>
          <w:sz w:val="2"/>
          <w:szCs w:val="22"/>
          <w:lang w:val="en-US" w:eastAsia="en-US" w:bidi="ar-SA"/>
        </w:rPr>
        <w:sectPr>
          <w:pgSz w:w="11900" w:h="16820"/>
          <w:pgMar w:top="0" w:right="0" w:bottom="0" w:left="0" w:header="720" w:footer="720" w:gutter="0"/>
          <w:pgNumType w:start="1"/>
          <w:cols w:sep="0" w:space="720"/>
          <w:docGrid w:linePitch="1"/>
        </w:sectPr>
      </w:pPr>
      <w:r>
        <w:rPr>
          <w:noProof/>
        </w:rPr>
        <w:pict>
          <v:shape id="_x0000_s1029" type="#_x0000_t75" style="width:445.6pt;height:2.7pt;margin-top:53.3pt;margin-left:87.45pt;mso-position-horizontal-relative:page;mso-position-vertical-relative:page;position:absolute;z-index:-251645952">
            <v:imagedata r:id="rId8" o:title=""/>
          </v:shape>
        </w:pict>
      </w:r>
      <w:r>
        <w:rPr>
          <w:noProof/>
        </w:rPr>
        <w:pict>
          <v:shape id="_x0000_s1030" type="#_x0000_t75" style="width:498.8pt;height:370.95pt;margin-top:74.3pt;margin-left:46.05pt;mso-position-horizontal-relative:page;mso-position-vertical-relative:page;position:absolute;z-index:-251651072">
            <v:imagedata r:id="rId9" o:title=""/>
          </v:shape>
        </w:pict>
      </w:r>
      <w:r>
        <w:rPr>
          <w:noProof/>
        </w:rPr>
        <w:pict>
          <v:shape id="_x0000_s1031" type="#_x0000_t75" style="width:520pt;height:258.6pt;margin-top:505.65pt;margin-left:38.95pt;mso-position-horizontal-relative:page;mso-position-vertical-relative:page;position:absolute;z-index:-251656192">
            <v:imagedata r:id="rId10" o:title=""/>
          </v:shape>
        </w:pict>
      </w:r>
    </w:p>
    <w:p>
      <w:pPr>
        <w:spacing w:line="0" w:lineRule="atLeast"/>
        <w:rPr>
          <w:rFonts w:ascii="Arial" w:eastAsiaTheme="minorEastAsia" w:hAnsiTheme="minorHAnsi" w:cstheme="minorBidi"/>
          <w:color w:val="FF0000"/>
          <w:sz w:val="2"/>
          <w:szCs w:val="22"/>
          <w:lang w:val="en-US" w:eastAsia="en-US" w:bidi="ar-SA"/>
        </w:rPr>
      </w:pPr>
      <w:bookmarkStart w:id="3" w:name="br1_2"/>
      <w:bookmarkEnd w:id="3"/>
      <w:r>
        <w:rPr>
          <w:rFonts w:ascii="Arial" w:eastAsiaTheme="minorEastAsia" w:hAnsiTheme="minorHAnsi" w:cstheme="minorBidi"/>
          <w:color w:val="FF0000"/>
          <w:sz w:val="2"/>
          <w:szCs w:val="22"/>
          <w:lang w:val="en-US" w:eastAsia="en-US" w:bidi="ar-SA"/>
        </w:rPr>
        <w:t xml:space="preserve"> </w:t>
      </w:r>
    </w:p>
    <w:p>
      <w:pPr>
        <w:framePr w:w="1934" w:x="5355" w:y="859"/>
        <w:widowControl w:val="0"/>
        <w:autoSpaceDE w:val="0"/>
        <w:autoSpaceDN w:val="0"/>
        <w:spacing w:line="180" w:lineRule="exact"/>
        <w:rPr>
          <w:rFonts w:eastAsiaTheme="minorEastAsia" w:hAnsiTheme="minorHAnsi" w:cstheme="minorBidi"/>
          <w:color w:val="000000"/>
          <w:sz w:val="18"/>
          <w:szCs w:val="22"/>
          <w:lang w:val="en-US" w:eastAsia="en-US" w:bidi="ar-SA"/>
        </w:rPr>
      </w:pPr>
      <w:r>
        <w:rPr>
          <w:rFonts w:ascii="SimSun" w:eastAsiaTheme="minorEastAsia" w:hAnsiTheme="minorHAnsi" w:cstheme="minorBidi"/>
          <w:color w:val="000000"/>
          <w:spacing w:val="3"/>
          <w:sz w:val="18"/>
          <w:szCs w:val="22"/>
          <w:lang w:val="en-US" w:eastAsia="en-US" w:bidi="ar-SA"/>
        </w:rPr>
        <w:t>2021</w:t>
      </w:r>
      <w:r>
        <w:rPr>
          <w:rFonts w:ascii="SimSun" w:hAnsi="SimSun" w:eastAsiaTheme="minorEastAsia" w:cs="SimSun"/>
          <w:color w:val="000000"/>
          <w:spacing w:val="2"/>
          <w:sz w:val="18"/>
          <w:szCs w:val="22"/>
          <w:lang w:val="en-US" w:eastAsia="en-US" w:bidi="ar-SA"/>
        </w:rPr>
        <w:t>年第一季度报告</w:t>
      </w:r>
    </w:p>
    <w:p>
      <w:pPr>
        <w:framePr w:w="3197" w:x="912" w:y="1569"/>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中国工商银行股份有限公司－国</w:t>
      </w:r>
    </w:p>
    <w:p>
      <w:pPr>
        <w:framePr w:w="3197" w:x="912" w:y="1569"/>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泰金泰平衡混合型证券投资基金</w:t>
      </w:r>
    </w:p>
    <w:p>
      <w:pPr>
        <w:framePr w:w="1190" w:x="4292" w:y="1725"/>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1,674,988</w:t>
      </w:r>
    </w:p>
    <w:p>
      <w:pPr>
        <w:framePr w:w="662" w:x="5667" w:y="1725"/>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1.06</w:t>
      </w:r>
    </w:p>
    <w:p>
      <w:pPr>
        <w:framePr w:w="662" w:x="8109" w:y="1725"/>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未知</w:t>
      </w:r>
    </w:p>
    <w:p>
      <w:pPr>
        <w:framePr w:w="662" w:x="10185" w:y="1725"/>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其他</w:t>
      </w:r>
    </w:p>
    <w:p>
      <w:pPr>
        <w:framePr w:w="3372" w:x="4508" w:y="2203"/>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前十名无限售条件股东持股情况</w:t>
      </w:r>
    </w:p>
    <w:p>
      <w:pPr>
        <w:framePr w:w="3372" w:x="4508" w:y="2203"/>
        <w:widowControl w:val="0"/>
        <w:autoSpaceDE w:val="0"/>
        <w:autoSpaceDN w:val="0"/>
        <w:spacing w:before="110" w:line="211" w:lineRule="exact"/>
        <w:ind w:left="1658"/>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持有无限售条件</w:t>
      </w:r>
    </w:p>
    <w:p>
      <w:pPr>
        <w:framePr w:w="3372" w:x="4508" w:y="2203"/>
        <w:widowControl w:val="0"/>
        <w:autoSpaceDE w:val="0"/>
        <w:autoSpaceDN w:val="0"/>
        <w:spacing w:before="101" w:line="211" w:lineRule="exact"/>
        <w:ind w:left="1764"/>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流通股的数量</w:t>
      </w:r>
    </w:p>
    <w:p>
      <w:pPr>
        <w:framePr w:w="1085" w:x="912" w:y="2524"/>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股东名称</w:t>
      </w:r>
    </w:p>
    <w:p>
      <w:pPr>
        <w:framePr w:w="1718" w:x="8718" w:y="2524"/>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股份种类及数量</w:t>
      </w:r>
    </w:p>
    <w:p>
      <w:pPr>
        <w:framePr w:w="662" w:x="8464" w:y="2846"/>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种类</w:t>
      </w:r>
    </w:p>
    <w:p>
      <w:pPr>
        <w:framePr w:w="662" w:x="10164" w:y="2846"/>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数量</w:t>
      </w:r>
    </w:p>
    <w:p>
      <w:pPr>
        <w:framePr w:w="874" w:x="912" w:y="3168"/>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王现全</w:t>
      </w:r>
    </w:p>
    <w:p>
      <w:pPr>
        <w:framePr w:w="874" w:x="912" w:y="3168"/>
        <w:widowControl w:val="0"/>
        <w:autoSpaceDE w:val="0"/>
        <w:autoSpaceDN w:val="0"/>
        <w:spacing w:before="110"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陈鸣宇</w:t>
      </w:r>
    </w:p>
    <w:p>
      <w:pPr>
        <w:framePr w:w="1296" w:x="6594" w:y="3168"/>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52,552,091</w:t>
      </w:r>
    </w:p>
    <w:p>
      <w:pPr>
        <w:framePr w:w="1507" w:x="8044" w:y="3168"/>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人民币普通股</w:t>
      </w:r>
    </w:p>
    <w:p>
      <w:pPr>
        <w:framePr w:w="1507" w:x="8044" w:y="3168"/>
        <w:widowControl w:val="0"/>
        <w:autoSpaceDE w:val="0"/>
        <w:autoSpaceDN w:val="0"/>
        <w:spacing w:before="110"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人民币普通股</w:t>
      </w:r>
    </w:p>
    <w:p>
      <w:pPr>
        <w:framePr w:w="1507" w:x="8044" w:y="3168"/>
        <w:widowControl w:val="0"/>
        <w:autoSpaceDE w:val="0"/>
        <w:autoSpaceDN w:val="0"/>
        <w:spacing w:before="113"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人民币普通股</w:t>
      </w:r>
    </w:p>
    <w:p>
      <w:pPr>
        <w:framePr w:w="1507" w:x="8044" w:y="3168"/>
        <w:widowControl w:val="0"/>
        <w:autoSpaceDE w:val="0"/>
        <w:autoSpaceDN w:val="0"/>
        <w:spacing w:before="110"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人民币普通股</w:t>
      </w:r>
    </w:p>
    <w:p>
      <w:pPr>
        <w:framePr w:w="1296" w:x="9993" w:y="3168"/>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52,552,091</w:t>
      </w:r>
    </w:p>
    <w:p>
      <w:pPr>
        <w:framePr w:w="1296" w:x="9993" w:y="3168"/>
        <w:widowControl w:val="0"/>
        <w:autoSpaceDE w:val="0"/>
        <w:autoSpaceDN w:val="0"/>
        <w:spacing w:before="110"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20,706,020</w:t>
      </w:r>
    </w:p>
    <w:p>
      <w:pPr>
        <w:framePr w:w="1296" w:x="9993" w:y="3168"/>
        <w:widowControl w:val="0"/>
        <w:autoSpaceDE w:val="0"/>
        <w:autoSpaceDN w:val="0"/>
        <w:spacing w:before="113" w:line="211" w:lineRule="exact"/>
        <w:ind w:left="106"/>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5,875,000</w:t>
      </w:r>
    </w:p>
    <w:p>
      <w:pPr>
        <w:framePr w:w="1296" w:x="9993" w:y="3168"/>
        <w:widowControl w:val="0"/>
        <w:autoSpaceDE w:val="0"/>
        <w:autoSpaceDN w:val="0"/>
        <w:spacing w:before="110" w:line="211" w:lineRule="exact"/>
        <w:ind w:left="106"/>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3,717,923</w:t>
      </w:r>
    </w:p>
    <w:p>
      <w:pPr>
        <w:framePr w:w="1296" w:x="6594" w:y="3489"/>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20,706,020</w:t>
      </w:r>
    </w:p>
    <w:p>
      <w:pPr>
        <w:framePr w:w="5075" w:x="912" w:y="3813"/>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建信基金－陈绪潇－建信鑫享</w:t>
      </w:r>
      <w:r>
        <w:rPr>
          <w:rFonts w:eastAsiaTheme="minorEastAsia" w:hAnsiTheme="minorHAnsi" w:cstheme="minorBidi"/>
          <w:color w:val="000000"/>
          <w:spacing w:val="1"/>
          <w:sz w:val="21"/>
          <w:szCs w:val="22"/>
          <w:lang w:val="en-US" w:eastAsia="en-US" w:bidi="ar-SA"/>
        </w:rPr>
        <w:t xml:space="preserve"> </w:t>
      </w:r>
      <w:r>
        <w:rPr>
          <w:rFonts w:ascii="SimSun" w:eastAsiaTheme="minorEastAsia" w:hAnsiTheme="minorHAnsi" w:cstheme="minorBidi"/>
          <w:color w:val="000000"/>
          <w:spacing w:val="52"/>
          <w:sz w:val="21"/>
          <w:szCs w:val="22"/>
          <w:lang w:val="en-US" w:eastAsia="en-US" w:bidi="ar-SA"/>
        </w:rPr>
        <w:t>4</w:t>
      </w:r>
      <w:r>
        <w:rPr>
          <w:rFonts w:ascii="SimSun" w:hAnsi="SimSun" w:eastAsiaTheme="minorEastAsia" w:cs="SimSun"/>
          <w:color w:val="000000"/>
          <w:sz w:val="21"/>
          <w:szCs w:val="22"/>
          <w:lang w:val="en-US" w:eastAsia="en-US" w:bidi="ar-SA"/>
        </w:rPr>
        <w:t>号单一资产管理计划</w:t>
      </w:r>
    </w:p>
    <w:p>
      <w:pPr>
        <w:framePr w:w="1190" w:x="6700" w:y="3813"/>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5,875,000</w:t>
      </w:r>
    </w:p>
    <w:p>
      <w:pPr>
        <w:framePr w:w="1190" w:x="6700" w:y="3813"/>
        <w:widowControl w:val="0"/>
        <w:autoSpaceDE w:val="0"/>
        <w:autoSpaceDN w:val="0"/>
        <w:spacing w:before="110"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3,717,923</w:t>
      </w:r>
    </w:p>
    <w:p>
      <w:pPr>
        <w:framePr w:w="662" w:x="912" w:y="4135"/>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李壮</w:t>
      </w:r>
    </w:p>
    <w:p>
      <w:pPr>
        <w:framePr w:w="5098" w:x="912" w:y="4457"/>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中国工商银行股份有限公司－国泰鑫睿混合型证券投</w:t>
      </w:r>
    </w:p>
    <w:p>
      <w:pPr>
        <w:framePr w:w="1190" w:x="6700" w:y="4613"/>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2,400,000</w:t>
      </w:r>
    </w:p>
    <w:p>
      <w:pPr>
        <w:framePr w:w="1507" w:x="8044" w:y="4613"/>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人民币普通股</w:t>
      </w:r>
    </w:p>
    <w:p>
      <w:pPr>
        <w:framePr w:w="1190" w:x="10099" w:y="4613"/>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2,400,000</w:t>
      </w:r>
    </w:p>
    <w:p>
      <w:pPr>
        <w:framePr w:w="874" w:x="912" w:y="4769"/>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资基金</w:t>
      </w:r>
    </w:p>
    <w:p>
      <w:pPr>
        <w:framePr w:w="662" w:x="912" w:y="5090"/>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王萍</w:t>
      </w:r>
    </w:p>
    <w:p>
      <w:pPr>
        <w:framePr w:w="1190" w:x="6700" w:y="5090"/>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2,270,000</w:t>
      </w:r>
    </w:p>
    <w:p>
      <w:pPr>
        <w:framePr w:w="1190" w:x="6700" w:y="5090"/>
        <w:widowControl w:val="0"/>
        <w:autoSpaceDE w:val="0"/>
        <w:autoSpaceDN w:val="0"/>
        <w:spacing w:before="111"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2,116,682</w:t>
      </w:r>
    </w:p>
    <w:p>
      <w:pPr>
        <w:framePr w:w="1507" w:x="8044" w:y="5090"/>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人民币普通股</w:t>
      </w:r>
    </w:p>
    <w:p>
      <w:pPr>
        <w:framePr w:w="1507" w:x="8044" w:y="5090"/>
        <w:widowControl w:val="0"/>
        <w:autoSpaceDE w:val="0"/>
        <w:autoSpaceDN w:val="0"/>
        <w:spacing w:before="11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人民币普通股</w:t>
      </w:r>
    </w:p>
    <w:p>
      <w:pPr>
        <w:framePr w:w="1190" w:x="10099" w:y="5090"/>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2,270,000</w:t>
      </w:r>
    </w:p>
    <w:p>
      <w:pPr>
        <w:framePr w:w="1190" w:x="10099" w:y="5090"/>
        <w:widowControl w:val="0"/>
        <w:autoSpaceDE w:val="0"/>
        <w:autoSpaceDN w:val="0"/>
        <w:spacing w:before="111"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2,116,682</w:t>
      </w:r>
    </w:p>
    <w:p>
      <w:pPr>
        <w:framePr w:w="874" w:x="912" w:y="5412"/>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贾玉玲</w:t>
      </w:r>
    </w:p>
    <w:p>
      <w:pPr>
        <w:framePr w:w="5098" w:x="912" w:y="5734"/>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中国建设银行股份有限公司－国泰大农业股票型证券</w:t>
      </w:r>
    </w:p>
    <w:p>
      <w:pPr>
        <w:framePr w:w="1190" w:x="6700" w:y="5890"/>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1,936,136</w:t>
      </w:r>
    </w:p>
    <w:p>
      <w:pPr>
        <w:framePr w:w="1190" w:x="6700" w:y="5890"/>
        <w:widowControl w:val="0"/>
        <w:autoSpaceDE w:val="0"/>
        <w:autoSpaceDN w:val="0"/>
        <w:spacing w:before="269"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1,858,507</w:t>
      </w:r>
    </w:p>
    <w:p>
      <w:pPr>
        <w:framePr w:w="1190" w:x="6700" w:y="5890"/>
        <w:widowControl w:val="0"/>
        <w:autoSpaceDE w:val="0"/>
        <w:autoSpaceDN w:val="0"/>
        <w:spacing w:before="266"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1,674,988</w:t>
      </w:r>
    </w:p>
    <w:p>
      <w:pPr>
        <w:framePr w:w="1507" w:x="8044" w:y="5890"/>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人民币普通股</w:t>
      </w:r>
    </w:p>
    <w:p>
      <w:pPr>
        <w:framePr w:w="1507" w:x="8044" w:y="5890"/>
        <w:widowControl w:val="0"/>
        <w:autoSpaceDE w:val="0"/>
        <w:autoSpaceDN w:val="0"/>
        <w:spacing w:before="269"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人民币普通股</w:t>
      </w:r>
    </w:p>
    <w:p>
      <w:pPr>
        <w:framePr w:w="1507" w:x="8044" w:y="5890"/>
        <w:widowControl w:val="0"/>
        <w:autoSpaceDE w:val="0"/>
        <w:autoSpaceDN w:val="0"/>
        <w:spacing w:before="266"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人民币普通股</w:t>
      </w:r>
    </w:p>
    <w:p>
      <w:pPr>
        <w:framePr w:w="1190" w:x="10099" w:y="5890"/>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1,936,136</w:t>
      </w:r>
    </w:p>
    <w:p>
      <w:pPr>
        <w:framePr w:w="1190" w:x="10099" w:y="5890"/>
        <w:widowControl w:val="0"/>
        <w:autoSpaceDE w:val="0"/>
        <w:autoSpaceDN w:val="0"/>
        <w:spacing w:before="269"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1,858,507</w:t>
      </w:r>
    </w:p>
    <w:p>
      <w:pPr>
        <w:framePr w:w="1190" w:x="10099" w:y="5890"/>
        <w:widowControl w:val="0"/>
        <w:autoSpaceDE w:val="0"/>
        <w:autoSpaceDN w:val="0"/>
        <w:spacing w:before="266"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1,674,988</w:t>
      </w:r>
    </w:p>
    <w:p>
      <w:pPr>
        <w:framePr w:w="1085" w:x="912" w:y="6046"/>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投资基金</w:t>
      </w:r>
    </w:p>
    <w:p>
      <w:pPr>
        <w:framePr w:w="874" w:x="912" w:y="6370"/>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孙利娟</w:t>
      </w:r>
    </w:p>
    <w:p>
      <w:pPr>
        <w:framePr w:w="5098" w:x="912" w:y="6691"/>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中国工商银行股份有限公司－国泰金泰平衡混合型证</w:t>
      </w:r>
    </w:p>
    <w:p>
      <w:pPr>
        <w:framePr w:w="5098" w:x="912" w:y="6691"/>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券投资基金</w:t>
      </w:r>
    </w:p>
    <w:p>
      <w:pPr>
        <w:framePr w:w="3619" w:x="912" w:y="7325"/>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上述股东关联关系或一致行动的说明</w:t>
      </w:r>
    </w:p>
    <w:p>
      <w:pPr>
        <w:framePr w:w="5098" w:x="6159" w:y="7325"/>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上述股东中，王现全与孙利娟为夫妻关系，贾玉玲与</w:t>
      </w:r>
    </w:p>
    <w:p>
      <w:pPr>
        <w:framePr w:w="5098" w:x="6159" w:y="7325"/>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陈鸣宇为母子关系，除上述关联关系外，公司未知其</w:t>
      </w:r>
    </w:p>
    <w:p>
      <w:pPr>
        <w:framePr w:w="5098" w:x="6159" w:y="7325"/>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他股东是否存在关联关系或一致行动关系。</w:t>
      </w:r>
    </w:p>
    <w:p>
      <w:pPr>
        <w:framePr w:w="5098" w:x="6159" w:y="7325"/>
        <w:widowControl w:val="0"/>
        <w:autoSpaceDE w:val="0"/>
        <w:autoSpaceDN w:val="0"/>
        <w:spacing w:before="110"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不适用</w:t>
      </w:r>
    </w:p>
    <w:p>
      <w:pPr>
        <w:framePr w:w="4253" w:x="912" w:y="8271"/>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表决权恢复的优先股股东及持股数量的说明</w:t>
      </w:r>
    </w:p>
    <w:p>
      <w:pPr>
        <w:framePr w:w="8984" w:x="1798" w:y="9025"/>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2.3</w:t>
      </w:r>
      <w:r>
        <w:rPr>
          <w:rFonts w:ascii="SimSun" w:eastAsiaTheme="minorEastAsia" w:hAnsiTheme="minorHAnsi" w:cstheme="minorBidi"/>
          <w:color w:val="000000"/>
          <w:spacing w:val="125"/>
          <w:sz w:val="21"/>
          <w:szCs w:val="22"/>
          <w:lang w:val="en-US" w:eastAsia="en-US" w:bidi="ar-SA"/>
        </w:rPr>
        <w:t xml:space="preserve"> </w:t>
      </w:r>
      <w:r>
        <w:rPr>
          <w:rFonts w:ascii="SimSun" w:hAnsi="SimSun" w:eastAsiaTheme="minorEastAsia" w:cs="SimSun"/>
          <w:color w:val="000000"/>
          <w:sz w:val="21"/>
          <w:szCs w:val="22"/>
          <w:lang w:val="en-US" w:eastAsia="en-US" w:bidi="ar-SA"/>
        </w:rPr>
        <w:t>截止报告期末的优先股股东总数、前十名优先股股东、前十名优先股无限售条件股东持股</w:t>
      </w:r>
    </w:p>
    <w:p>
      <w:pPr>
        <w:framePr w:w="874" w:x="2218" w:y="9337"/>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情况表</w:t>
      </w:r>
    </w:p>
    <w:p>
      <w:pPr>
        <w:framePr w:w="1817" w:x="1798" w:y="9769"/>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□适用</w:t>
      </w:r>
      <w:r>
        <w:rPr>
          <w:rFonts w:eastAsiaTheme="minorEastAsia" w:hAnsiTheme="minorHAnsi" w:cstheme="minorBidi"/>
          <w:color w:val="000000"/>
          <w:spacing w:val="51"/>
          <w:sz w:val="21"/>
          <w:szCs w:val="22"/>
          <w:lang w:val="en-US" w:eastAsia="en-US" w:bidi="ar-SA"/>
        </w:rPr>
        <w:t xml:space="preserve"> </w:t>
      </w:r>
      <w:r>
        <w:rPr>
          <w:rFonts w:ascii="SimSun" w:hAnsi="SimSun" w:eastAsiaTheme="minorEastAsia" w:cs="SimSun"/>
          <w:color w:val="000000"/>
          <w:sz w:val="21"/>
          <w:szCs w:val="22"/>
          <w:lang w:val="en-US" w:eastAsia="en-US" w:bidi="ar-SA"/>
        </w:rPr>
        <w:t>√不适用</w:t>
      </w:r>
    </w:p>
    <w:p>
      <w:pPr>
        <w:framePr w:w="1519" w:x="1798" w:y="10484"/>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4"/>
          <w:sz w:val="21"/>
          <w:szCs w:val="22"/>
          <w:lang w:val="en-US" w:eastAsia="en-US" w:bidi="ar-SA"/>
        </w:rPr>
        <w:t>三、重要事项</w:t>
      </w:r>
    </w:p>
    <w:p>
      <w:pPr>
        <w:framePr w:w="6044" w:x="1798" w:y="10899"/>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3.1</w:t>
      </w:r>
      <w:r>
        <w:rPr>
          <w:rFonts w:ascii="SimSun" w:eastAsiaTheme="minorEastAsia" w:hAnsiTheme="minorHAnsi" w:cstheme="minorBidi"/>
          <w:color w:val="000000"/>
          <w:spacing w:val="125"/>
          <w:sz w:val="21"/>
          <w:szCs w:val="22"/>
          <w:lang w:val="en-US" w:eastAsia="en-US" w:bidi="ar-SA"/>
        </w:rPr>
        <w:t xml:space="preserve"> </w:t>
      </w:r>
      <w:r>
        <w:rPr>
          <w:rFonts w:ascii="SimSun" w:hAnsi="SimSun" w:eastAsiaTheme="minorEastAsia" w:cs="SimSun"/>
          <w:color w:val="000000"/>
          <w:sz w:val="21"/>
          <w:szCs w:val="22"/>
          <w:lang w:val="en-US" w:eastAsia="en-US" w:bidi="ar-SA"/>
        </w:rPr>
        <w:t>公司主要会计报表项目、财务指标重大变动的情况及原因</w:t>
      </w:r>
    </w:p>
    <w:p>
      <w:pPr>
        <w:framePr w:w="1817" w:x="1798" w:y="11338"/>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√适用</w:t>
      </w:r>
      <w:r>
        <w:rPr>
          <w:rFonts w:eastAsiaTheme="minorEastAsia" w:hAnsiTheme="minorHAnsi" w:cstheme="minorBidi"/>
          <w:color w:val="000000"/>
          <w:spacing w:val="51"/>
          <w:sz w:val="21"/>
          <w:szCs w:val="22"/>
          <w:lang w:val="en-US" w:eastAsia="en-US" w:bidi="ar-SA"/>
        </w:rPr>
        <w:t xml:space="preserve"> </w:t>
      </w:r>
      <w:r>
        <w:rPr>
          <w:rFonts w:ascii="SimSun" w:hAnsi="SimSun" w:eastAsiaTheme="minorEastAsia" w:cs="SimSun"/>
          <w:color w:val="000000"/>
          <w:sz w:val="21"/>
          <w:szCs w:val="22"/>
          <w:lang w:val="en-US" w:eastAsia="en-US" w:bidi="ar-SA"/>
        </w:rPr>
        <w:t>□不适用</w:t>
      </w:r>
    </w:p>
    <w:p>
      <w:pPr>
        <w:framePr w:w="1085" w:x="1731" w:y="12436"/>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报表项目</w:t>
      </w:r>
    </w:p>
    <w:p>
      <w:pPr>
        <w:framePr w:w="7362" w:x="3466" w:y="12436"/>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期末金额（或本期金额）</w:t>
      </w:r>
      <w:r>
        <w:rPr>
          <w:rFonts w:eastAsiaTheme="minorEastAsia" w:hAnsiTheme="minorHAnsi" w:cstheme="minorBidi"/>
          <w:color w:val="000000"/>
          <w:spacing w:val="68"/>
          <w:sz w:val="21"/>
          <w:szCs w:val="22"/>
          <w:lang w:val="en-US" w:eastAsia="en-US" w:bidi="ar-SA"/>
        </w:rPr>
        <w:t xml:space="preserve"> </w:t>
      </w:r>
      <w:r>
        <w:rPr>
          <w:rFonts w:ascii="SimSun" w:hAnsi="SimSun" w:eastAsiaTheme="minorEastAsia" w:cs="SimSun"/>
          <w:color w:val="000000"/>
          <w:sz w:val="21"/>
          <w:szCs w:val="22"/>
          <w:lang w:val="en-US" w:eastAsia="en-US" w:bidi="ar-SA"/>
        </w:rPr>
        <w:t>年初金额（或上期金额）</w:t>
      </w:r>
      <w:r>
        <w:rPr>
          <w:rFonts w:eastAsiaTheme="minorEastAsia" w:hAnsiTheme="minorHAnsi" w:cstheme="minorBidi"/>
          <w:color w:val="000000"/>
          <w:spacing w:val="177"/>
          <w:sz w:val="21"/>
          <w:szCs w:val="22"/>
          <w:lang w:val="en-US" w:eastAsia="en-US" w:bidi="ar-SA"/>
        </w:rPr>
        <w:t xml:space="preserve"> </w:t>
      </w:r>
      <w:r>
        <w:rPr>
          <w:rFonts w:ascii="SimSun" w:hAnsi="SimSun" w:eastAsiaTheme="minorEastAsia" w:cs="SimSun"/>
          <w:color w:val="000000"/>
          <w:spacing w:val="1"/>
          <w:sz w:val="21"/>
          <w:szCs w:val="22"/>
          <w:lang w:val="en-US" w:eastAsia="en-US" w:bidi="ar-SA"/>
        </w:rPr>
        <w:t>变动率（</w:t>
      </w:r>
      <w:r>
        <w:rPr>
          <w:rFonts w:ascii="SimSun" w:eastAsiaTheme="minorEastAsia" w:hAnsiTheme="minorHAnsi" w:cstheme="minorBidi"/>
          <w:color w:val="000000"/>
          <w:spacing w:val="1"/>
          <w:sz w:val="21"/>
          <w:szCs w:val="22"/>
          <w:lang w:val="en-US" w:eastAsia="en-US" w:bidi="ar-SA"/>
        </w:rPr>
        <w:t>%</w:t>
      </w:r>
      <w:r>
        <w:rPr>
          <w:rFonts w:ascii="SimSun" w:hAnsi="SimSun" w:eastAsiaTheme="minorEastAsia" w:cs="SimSun"/>
          <w:color w:val="000000"/>
          <w:sz w:val="21"/>
          <w:szCs w:val="22"/>
          <w:lang w:val="en-US" w:eastAsia="en-US" w:bidi="ar-SA"/>
        </w:rPr>
        <w:t>）</w:t>
      </w:r>
      <w:r>
        <w:rPr>
          <w:rFonts w:eastAsiaTheme="minorEastAsia" w:hAnsiTheme="minorHAnsi" w:cstheme="minorBidi"/>
          <w:color w:val="000000"/>
          <w:spacing w:val="107"/>
          <w:sz w:val="21"/>
          <w:szCs w:val="22"/>
          <w:lang w:val="en-US" w:eastAsia="en-US" w:bidi="ar-SA"/>
        </w:rPr>
        <w:t xml:space="preserve"> </w:t>
      </w:r>
      <w:r>
        <w:rPr>
          <w:rFonts w:ascii="SimSun" w:hAnsi="SimSun" w:eastAsiaTheme="minorEastAsia" w:cs="SimSun"/>
          <w:color w:val="000000"/>
          <w:sz w:val="21"/>
          <w:szCs w:val="22"/>
          <w:lang w:val="en-US" w:eastAsia="en-US" w:bidi="ar-SA"/>
        </w:rPr>
        <w:t>变动原因</w:t>
      </w:r>
    </w:p>
    <w:p>
      <w:pPr>
        <w:framePr w:w="1718" w:x="1416" w:y="12887"/>
        <w:widowControl w:val="0"/>
        <w:autoSpaceDE w:val="0"/>
        <w:autoSpaceDN w:val="0"/>
        <w:spacing w:line="211" w:lineRule="exact"/>
        <w:ind w:left="314"/>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货币资金</w:t>
      </w:r>
    </w:p>
    <w:p>
      <w:pPr>
        <w:framePr w:w="1718" w:x="1416" w:y="12887"/>
        <w:widowControl w:val="0"/>
        <w:autoSpaceDE w:val="0"/>
        <w:autoSpaceDN w:val="0"/>
        <w:spacing w:before="110"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交易性金融资产</w:t>
      </w:r>
    </w:p>
    <w:p>
      <w:pPr>
        <w:framePr w:w="1718" w:x="1416" w:y="12887"/>
        <w:widowControl w:val="0"/>
        <w:autoSpaceDE w:val="0"/>
        <w:autoSpaceDN w:val="0"/>
        <w:spacing w:before="110" w:line="211" w:lineRule="exact"/>
        <w:ind w:left="314"/>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应收账款</w:t>
      </w:r>
    </w:p>
    <w:p>
      <w:pPr>
        <w:framePr w:w="1718" w:x="4189" w:y="12887"/>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338,587,958.50</w:t>
      </w:r>
    </w:p>
    <w:p>
      <w:pPr>
        <w:framePr w:w="1718" w:x="4189" w:y="12887"/>
        <w:widowControl w:val="0"/>
        <w:autoSpaceDE w:val="0"/>
        <w:autoSpaceDN w:val="0"/>
        <w:spacing w:before="110"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236,204,339.87</w:t>
      </w:r>
    </w:p>
    <w:p>
      <w:pPr>
        <w:framePr w:w="1718" w:x="4189" w:y="12887"/>
        <w:widowControl w:val="0"/>
        <w:autoSpaceDE w:val="0"/>
        <w:autoSpaceDN w:val="0"/>
        <w:spacing w:before="110"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311,467,749.93</w:t>
      </w:r>
    </w:p>
    <w:p>
      <w:pPr>
        <w:framePr w:w="1718" w:x="4189" w:y="12887"/>
        <w:widowControl w:val="0"/>
        <w:autoSpaceDE w:val="0"/>
        <w:autoSpaceDN w:val="0"/>
        <w:spacing w:before="110" w:line="211" w:lineRule="exact"/>
        <w:ind w:left="211"/>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6,620,179.30</w:t>
      </w:r>
    </w:p>
    <w:p>
      <w:pPr>
        <w:framePr w:w="1718" w:x="4189" w:y="12887"/>
        <w:widowControl w:val="0"/>
        <w:autoSpaceDE w:val="0"/>
        <w:autoSpaceDN w:val="0"/>
        <w:spacing w:before="110" w:line="211" w:lineRule="exact"/>
        <w:ind w:left="106"/>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81,757,952.19</w:t>
      </w:r>
    </w:p>
    <w:p>
      <w:pPr>
        <w:framePr w:w="1718" w:x="4189" w:y="12887"/>
        <w:widowControl w:val="0"/>
        <w:autoSpaceDE w:val="0"/>
        <w:autoSpaceDN w:val="0"/>
        <w:spacing w:before="110" w:line="211" w:lineRule="exact"/>
        <w:ind w:left="106"/>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57,388,157.04</w:t>
      </w:r>
    </w:p>
    <w:p>
      <w:pPr>
        <w:framePr w:w="1718" w:x="4189" w:y="12887"/>
        <w:widowControl w:val="0"/>
        <w:autoSpaceDE w:val="0"/>
        <w:autoSpaceDN w:val="0"/>
        <w:spacing w:before="113" w:line="211" w:lineRule="exact"/>
        <w:ind w:left="211"/>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2,071,391.93</w:t>
      </w:r>
    </w:p>
    <w:p>
      <w:pPr>
        <w:framePr w:w="1718" w:x="6738" w:y="12887"/>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505,708,846.56</w:t>
      </w:r>
    </w:p>
    <w:p>
      <w:pPr>
        <w:framePr w:w="1718" w:x="6738" w:y="12887"/>
        <w:widowControl w:val="0"/>
        <w:autoSpaceDE w:val="0"/>
        <w:autoSpaceDN w:val="0"/>
        <w:spacing w:before="110" w:line="211" w:lineRule="exact"/>
        <w:ind w:left="106"/>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80,384,715.04</w:t>
      </w:r>
    </w:p>
    <w:p>
      <w:pPr>
        <w:framePr w:w="1718" w:x="6738" w:y="12887"/>
        <w:widowControl w:val="0"/>
        <w:autoSpaceDE w:val="0"/>
        <w:autoSpaceDN w:val="0"/>
        <w:spacing w:before="110"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207,747,577.03</w:t>
      </w:r>
    </w:p>
    <w:p>
      <w:pPr>
        <w:framePr w:w="1718" w:x="6738" w:y="12887"/>
        <w:widowControl w:val="0"/>
        <w:autoSpaceDE w:val="0"/>
        <w:autoSpaceDN w:val="0"/>
        <w:spacing w:before="110" w:line="211" w:lineRule="exact"/>
        <w:ind w:left="106"/>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10,688,694.00</w:t>
      </w:r>
    </w:p>
    <w:p>
      <w:pPr>
        <w:framePr w:w="1718" w:x="6738" w:y="12887"/>
        <w:widowControl w:val="0"/>
        <w:autoSpaceDE w:val="0"/>
        <w:autoSpaceDN w:val="0"/>
        <w:spacing w:before="110" w:line="211" w:lineRule="exact"/>
        <w:ind w:left="106"/>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53,150,841.31</w:t>
      </w:r>
    </w:p>
    <w:p>
      <w:pPr>
        <w:framePr w:w="1718" w:x="6738" w:y="12887"/>
        <w:widowControl w:val="0"/>
        <w:autoSpaceDE w:val="0"/>
        <w:autoSpaceDN w:val="0"/>
        <w:spacing w:before="110" w:line="211" w:lineRule="exact"/>
        <w:ind w:left="106"/>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39,186,319.40</w:t>
      </w:r>
    </w:p>
    <w:p>
      <w:pPr>
        <w:framePr w:w="1718" w:x="6738" w:y="12887"/>
        <w:widowControl w:val="0"/>
        <w:autoSpaceDE w:val="0"/>
        <w:autoSpaceDN w:val="0"/>
        <w:spacing w:before="113" w:line="211" w:lineRule="exact"/>
        <w:ind w:left="526"/>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65,795.50</w:t>
      </w:r>
    </w:p>
    <w:p>
      <w:pPr>
        <w:framePr w:w="874" w:x="8858" w:y="12887"/>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-33.05</w:t>
      </w:r>
    </w:p>
    <w:p>
      <w:pPr>
        <w:framePr w:w="874" w:x="8858" w:y="12887"/>
        <w:widowControl w:val="0"/>
        <w:autoSpaceDE w:val="0"/>
        <w:autoSpaceDN w:val="0"/>
        <w:spacing w:before="110"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193.84</w:t>
      </w:r>
    </w:p>
    <w:p>
      <w:pPr>
        <w:framePr w:w="874" w:x="8858" w:y="12887"/>
        <w:widowControl w:val="0"/>
        <w:autoSpaceDE w:val="0"/>
        <w:autoSpaceDN w:val="0"/>
        <w:spacing w:before="110" w:line="211" w:lineRule="exact"/>
        <w:ind w:left="106"/>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49.93</w:t>
      </w:r>
    </w:p>
    <w:p>
      <w:pPr>
        <w:framePr w:w="610" w:x="9984" w:y="12887"/>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注</w:t>
      </w:r>
      <w:r>
        <w:rPr>
          <w:rFonts w:eastAsiaTheme="minorEastAsia" w:hAnsiTheme="minorHAnsi" w:cstheme="minorBidi"/>
          <w:color w:val="000000"/>
          <w:spacing w:val="2"/>
          <w:sz w:val="21"/>
          <w:szCs w:val="22"/>
          <w:lang w:val="en-US" w:eastAsia="en-US" w:bidi="ar-SA"/>
        </w:rPr>
        <w:t xml:space="preserve"> </w:t>
      </w:r>
      <w:r>
        <w:rPr>
          <w:rFonts w:ascii="SimSun" w:eastAsiaTheme="minorEastAsia" w:hAnsiTheme="minorHAnsi" w:cstheme="minorBidi"/>
          <w:color w:val="000000"/>
          <w:sz w:val="21"/>
          <w:szCs w:val="22"/>
          <w:lang w:val="en-US" w:eastAsia="en-US" w:bidi="ar-SA"/>
        </w:rPr>
        <w:t>1</w:t>
      </w:r>
    </w:p>
    <w:p>
      <w:pPr>
        <w:framePr w:w="610" w:x="9984" w:y="12887"/>
        <w:widowControl w:val="0"/>
        <w:autoSpaceDE w:val="0"/>
        <w:autoSpaceDN w:val="0"/>
        <w:spacing w:before="110" w:line="211" w:lineRule="exact"/>
        <w:rPr>
          <w:rFonts w:ascii="SimSun"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注</w:t>
      </w:r>
      <w:r>
        <w:rPr>
          <w:rFonts w:eastAsiaTheme="minorEastAsia" w:hAnsiTheme="minorHAnsi" w:cstheme="minorBidi"/>
          <w:color w:val="000000"/>
          <w:spacing w:val="2"/>
          <w:sz w:val="21"/>
          <w:szCs w:val="22"/>
          <w:lang w:val="en-US" w:eastAsia="en-US" w:bidi="ar-SA"/>
        </w:rPr>
        <w:t xml:space="preserve"> </w:t>
      </w:r>
      <w:r>
        <w:rPr>
          <w:rFonts w:ascii="SimSun" w:eastAsiaTheme="minorEastAsia" w:hAnsiTheme="minorHAnsi" w:cstheme="minorBidi"/>
          <w:color w:val="000000"/>
          <w:sz w:val="21"/>
          <w:szCs w:val="22"/>
          <w:lang w:val="en-US" w:eastAsia="en-US" w:bidi="ar-SA"/>
        </w:rPr>
        <w:t>2</w:t>
      </w:r>
    </w:p>
    <w:p>
      <w:pPr>
        <w:framePr w:w="610" w:x="9984" w:y="12887"/>
        <w:widowControl w:val="0"/>
        <w:autoSpaceDE w:val="0"/>
        <w:autoSpaceDN w:val="0"/>
        <w:spacing w:before="110" w:line="211" w:lineRule="exact"/>
        <w:rPr>
          <w:rFonts w:ascii="SimSun"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注</w:t>
      </w:r>
      <w:r>
        <w:rPr>
          <w:rFonts w:eastAsiaTheme="minorEastAsia" w:hAnsiTheme="minorHAnsi" w:cstheme="minorBidi"/>
          <w:color w:val="000000"/>
          <w:spacing w:val="2"/>
          <w:sz w:val="21"/>
          <w:szCs w:val="22"/>
          <w:lang w:val="en-US" w:eastAsia="en-US" w:bidi="ar-SA"/>
        </w:rPr>
        <w:t xml:space="preserve"> </w:t>
      </w:r>
      <w:r>
        <w:rPr>
          <w:rFonts w:ascii="SimSun" w:eastAsiaTheme="minorEastAsia" w:hAnsiTheme="minorHAnsi" w:cstheme="minorBidi"/>
          <w:color w:val="000000"/>
          <w:sz w:val="21"/>
          <w:szCs w:val="22"/>
          <w:lang w:val="en-US" w:eastAsia="en-US" w:bidi="ar-SA"/>
        </w:rPr>
        <w:t>3</w:t>
      </w:r>
    </w:p>
    <w:p>
      <w:pPr>
        <w:framePr w:w="610" w:x="9984" w:y="12887"/>
        <w:widowControl w:val="0"/>
        <w:autoSpaceDE w:val="0"/>
        <w:autoSpaceDN w:val="0"/>
        <w:spacing w:before="110" w:line="211" w:lineRule="exact"/>
        <w:rPr>
          <w:rFonts w:ascii="SimSun"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注</w:t>
      </w:r>
      <w:r>
        <w:rPr>
          <w:rFonts w:eastAsiaTheme="minorEastAsia" w:hAnsiTheme="minorHAnsi" w:cstheme="minorBidi"/>
          <w:color w:val="000000"/>
          <w:spacing w:val="2"/>
          <w:sz w:val="21"/>
          <w:szCs w:val="22"/>
          <w:lang w:val="en-US" w:eastAsia="en-US" w:bidi="ar-SA"/>
        </w:rPr>
        <w:t xml:space="preserve"> </w:t>
      </w:r>
      <w:r>
        <w:rPr>
          <w:rFonts w:ascii="SimSun" w:eastAsiaTheme="minorEastAsia" w:hAnsiTheme="minorHAnsi" w:cstheme="minorBidi"/>
          <w:color w:val="000000"/>
          <w:sz w:val="21"/>
          <w:szCs w:val="22"/>
          <w:lang w:val="en-US" w:eastAsia="en-US" w:bidi="ar-SA"/>
        </w:rPr>
        <w:t>4</w:t>
      </w:r>
    </w:p>
    <w:p>
      <w:pPr>
        <w:framePr w:w="610" w:x="9984" w:y="12887"/>
        <w:widowControl w:val="0"/>
        <w:autoSpaceDE w:val="0"/>
        <w:autoSpaceDN w:val="0"/>
        <w:spacing w:before="110" w:line="211" w:lineRule="exact"/>
        <w:rPr>
          <w:rFonts w:ascii="SimSun"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注</w:t>
      </w:r>
      <w:r>
        <w:rPr>
          <w:rFonts w:eastAsiaTheme="minorEastAsia" w:hAnsiTheme="minorHAnsi" w:cstheme="minorBidi"/>
          <w:color w:val="000000"/>
          <w:spacing w:val="2"/>
          <w:sz w:val="21"/>
          <w:szCs w:val="22"/>
          <w:lang w:val="en-US" w:eastAsia="en-US" w:bidi="ar-SA"/>
        </w:rPr>
        <w:t xml:space="preserve"> </w:t>
      </w:r>
      <w:r>
        <w:rPr>
          <w:rFonts w:ascii="SimSun" w:eastAsiaTheme="minorEastAsia" w:hAnsiTheme="minorHAnsi" w:cstheme="minorBidi"/>
          <w:color w:val="000000"/>
          <w:sz w:val="21"/>
          <w:szCs w:val="22"/>
          <w:lang w:val="en-US" w:eastAsia="en-US" w:bidi="ar-SA"/>
        </w:rPr>
        <w:t>5</w:t>
      </w:r>
    </w:p>
    <w:p>
      <w:pPr>
        <w:framePr w:w="610" w:x="9984" w:y="12887"/>
        <w:widowControl w:val="0"/>
        <w:autoSpaceDE w:val="0"/>
        <w:autoSpaceDN w:val="0"/>
        <w:spacing w:before="110" w:line="211" w:lineRule="exact"/>
        <w:rPr>
          <w:rFonts w:ascii="SimSun"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注</w:t>
      </w:r>
      <w:r>
        <w:rPr>
          <w:rFonts w:eastAsiaTheme="minorEastAsia" w:hAnsiTheme="minorHAnsi" w:cstheme="minorBidi"/>
          <w:color w:val="000000"/>
          <w:spacing w:val="2"/>
          <w:sz w:val="21"/>
          <w:szCs w:val="22"/>
          <w:lang w:val="en-US" w:eastAsia="en-US" w:bidi="ar-SA"/>
        </w:rPr>
        <w:t xml:space="preserve"> </w:t>
      </w:r>
      <w:r>
        <w:rPr>
          <w:rFonts w:ascii="SimSun" w:eastAsiaTheme="minorEastAsia" w:hAnsiTheme="minorHAnsi" w:cstheme="minorBidi"/>
          <w:color w:val="000000"/>
          <w:sz w:val="21"/>
          <w:szCs w:val="22"/>
          <w:lang w:val="en-US" w:eastAsia="en-US" w:bidi="ar-SA"/>
        </w:rPr>
        <w:t>6</w:t>
      </w:r>
    </w:p>
    <w:p>
      <w:pPr>
        <w:framePr w:w="610" w:x="9984" w:y="12887"/>
        <w:widowControl w:val="0"/>
        <w:autoSpaceDE w:val="0"/>
        <w:autoSpaceDN w:val="0"/>
        <w:spacing w:before="113" w:line="211" w:lineRule="exact"/>
        <w:rPr>
          <w:rFonts w:ascii="SimSun"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注</w:t>
      </w:r>
      <w:r>
        <w:rPr>
          <w:rFonts w:eastAsiaTheme="minorEastAsia" w:hAnsiTheme="minorHAnsi" w:cstheme="minorBidi"/>
          <w:color w:val="000000"/>
          <w:spacing w:val="2"/>
          <w:sz w:val="21"/>
          <w:szCs w:val="22"/>
          <w:lang w:val="en-US" w:eastAsia="en-US" w:bidi="ar-SA"/>
        </w:rPr>
        <w:t xml:space="preserve"> </w:t>
      </w:r>
      <w:r>
        <w:rPr>
          <w:rFonts w:ascii="SimSun" w:eastAsiaTheme="minorEastAsia" w:hAnsiTheme="minorHAnsi" w:cstheme="minorBidi"/>
          <w:color w:val="000000"/>
          <w:sz w:val="21"/>
          <w:szCs w:val="22"/>
          <w:lang w:val="en-US" w:eastAsia="en-US" w:bidi="ar-SA"/>
        </w:rPr>
        <w:t>7</w:t>
      </w:r>
    </w:p>
    <w:p>
      <w:pPr>
        <w:framePr w:w="1507" w:x="1522" w:y="13852"/>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应收账款融资</w:t>
      </w:r>
    </w:p>
    <w:p>
      <w:pPr>
        <w:framePr w:w="1507" w:x="1522" w:y="13852"/>
        <w:widowControl w:val="0"/>
        <w:autoSpaceDE w:val="0"/>
        <w:autoSpaceDN w:val="0"/>
        <w:spacing w:before="110" w:line="211" w:lineRule="exact"/>
        <w:ind w:left="209"/>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预付款项</w:t>
      </w:r>
    </w:p>
    <w:p>
      <w:pPr>
        <w:framePr w:w="874" w:x="8858" w:y="13852"/>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-38.06</w:t>
      </w:r>
    </w:p>
    <w:p>
      <w:pPr>
        <w:framePr w:w="874" w:x="8858" w:y="13852"/>
        <w:widowControl w:val="0"/>
        <w:autoSpaceDE w:val="0"/>
        <w:autoSpaceDN w:val="0"/>
        <w:spacing w:before="110" w:line="211" w:lineRule="exact"/>
        <w:ind w:left="106"/>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53.82</w:t>
      </w:r>
    </w:p>
    <w:p>
      <w:pPr>
        <w:framePr w:w="1718" w:x="1416" w:y="14495"/>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其他非流动资产</w:t>
      </w:r>
    </w:p>
    <w:p>
      <w:pPr>
        <w:framePr w:w="1718" w:x="1416" w:y="14495"/>
        <w:widowControl w:val="0"/>
        <w:autoSpaceDE w:val="0"/>
        <w:autoSpaceDN w:val="0"/>
        <w:spacing w:before="113"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交易性金融负债</w:t>
      </w:r>
    </w:p>
    <w:p>
      <w:pPr>
        <w:framePr w:w="768" w:x="8964" w:y="14495"/>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46.45</w:t>
      </w:r>
    </w:p>
    <w:p>
      <w:pPr>
        <w:framePr w:w="979" w:x="8754" w:y="14819"/>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3048.23</w:t>
      </w:r>
    </w:p>
    <w:p>
      <w:pPr>
        <w:framePr w:w="690" w:x="5989" w:y="15388"/>
        <w:widowControl w:val="0"/>
        <w:autoSpaceDE w:val="0"/>
        <w:autoSpaceDN w:val="0"/>
        <w:spacing w:line="180" w:lineRule="exact"/>
        <w:rPr>
          <w:rFonts w:ascii="SimSun" w:eastAsiaTheme="minorEastAsia" w:hAnsiTheme="minorHAnsi" w:cstheme="minorBidi"/>
          <w:color w:val="000000"/>
          <w:sz w:val="18"/>
          <w:szCs w:val="22"/>
          <w:lang w:val="en-US" w:eastAsia="en-US" w:bidi="ar-SA"/>
        </w:rPr>
      </w:pPr>
      <w:r>
        <w:rPr>
          <w:rFonts w:ascii="SimSun" w:eastAsiaTheme="minorEastAsia" w:hAnsiTheme="minorHAnsi" w:cstheme="minorBidi"/>
          <w:color w:val="000000"/>
          <w:sz w:val="18"/>
          <w:szCs w:val="22"/>
          <w:lang w:val="en-US" w:eastAsia="en-US" w:bidi="ar-SA"/>
        </w:rPr>
        <w:t>4</w:t>
      </w:r>
      <w:r>
        <w:rPr>
          <w:rFonts w:ascii="SimSun" w:eastAsiaTheme="minorEastAsia" w:hAnsiTheme="minorHAnsi" w:cstheme="minorBidi"/>
          <w:color w:val="000000"/>
          <w:spacing w:val="2"/>
          <w:sz w:val="18"/>
          <w:szCs w:val="22"/>
          <w:lang w:val="en-US" w:eastAsia="en-US" w:bidi="ar-SA"/>
        </w:rPr>
        <w:t xml:space="preserve"> </w:t>
      </w:r>
      <w:r>
        <w:rPr>
          <w:rFonts w:ascii="SimSun" w:eastAsiaTheme="minorEastAsia" w:hAnsiTheme="minorHAnsi" w:cstheme="minorBidi"/>
          <w:color w:val="000000"/>
          <w:sz w:val="18"/>
          <w:szCs w:val="22"/>
          <w:lang w:val="en-US" w:eastAsia="en-US" w:bidi="ar-SA"/>
        </w:rPr>
        <w:t>/</w:t>
      </w:r>
      <w:r>
        <w:rPr>
          <w:rFonts w:ascii="SimSun" w:eastAsiaTheme="minorEastAsia" w:hAnsiTheme="minorHAnsi" w:cstheme="minorBidi"/>
          <w:color w:val="000000"/>
          <w:spacing w:val="-2"/>
          <w:sz w:val="18"/>
          <w:szCs w:val="22"/>
          <w:lang w:val="en-US" w:eastAsia="en-US" w:bidi="ar-SA"/>
        </w:rPr>
        <w:t xml:space="preserve"> </w:t>
      </w:r>
      <w:r>
        <w:rPr>
          <w:rFonts w:ascii="SimSun" w:eastAsiaTheme="minorEastAsia" w:hAnsiTheme="minorHAnsi" w:cstheme="minorBidi"/>
          <w:color w:val="000000"/>
          <w:sz w:val="18"/>
          <w:szCs w:val="22"/>
          <w:lang w:val="en-US" w:eastAsia="en-US" w:bidi="ar-SA"/>
        </w:rPr>
        <w:t>6</w:t>
      </w:r>
    </w:p>
    <w:p>
      <w:pPr>
        <w:spacing w:line="0" w:lineRule="atLeast"/>
        <w:rPr>
          <w:rFonts w:ascii="Arial" w:eastAsiaTheme="minorEastAsia" w:hAnsiTheme="minorHAnsi" w:cstheme="minorBidi"/>
          <w:color w:val="FF0000"/>
          <w:sz w:val="2"/>
          <w:szCs w:val="22"/>
          <w:lang w:val="en-US" w:eastAsia="en-US" w:bidi="ar-SA"/>
        </w:rPr>
        <w:sectPr>
          <w:pgSz w:w="11900" w:h="16820"/>
          <w:pgMar w:top="0" w:right="0" w:bottom="0" w:left="0" w:header="720" w:footer="720" w:gutter="0"/>
          <w:pgNumType w:start="1"/>
          <w:cols w:sep="0" w:space="720"/>
          <w:docGrid w:linePitch="1"/>
        </w:sectPr>
      </w:pPr>
      <w:r>
        <w:rPr>
          <w:noProof/>
        </w:rPr>
        <w:pict>
          <v:shape id="_x0000_s1032" type="#_x0000_t75" style="width:445.6pt;height:2.7pt;margin-top:53.3pt;margin-left:87.45pt;mso-position-horizontal-relative:page;mso-position-vertical-relative:page;position:absolute;z-index:-251643904">
            <v:imagedata r:id="rId11" o:title=""/>
          </v:shape>
        </w:pict>
      </w:r>
      <w:r>
        <w:rPr>
          <w:noProof/>
        </w:rPr>
        <w:pict>
          <v:shape id="_x0000_s1033" type="#_x0000_t75" style="width:520pt;height:353.75pt;margin-top:74.3pt;margin-left:38.95pt;mso-position-horizontal-relative:page;mso-position-vertical-relative:page;position:absolute;z-index:-251644928">
            <v:imagedata r:id="rId12" o:title=""/>
          </v:shape>
        </w:pict>
      </w:r>
      <w:r>
        <w:rPr>
          <w:noProof/>
        </w:rPr>
        <w:pict>
          <v:shape id="_x0000_s1034" type="#_x0000_t75" style="width:55.05pt;height:15.7pt;margin-top:619.15pt;margin-left:420.4pt;mso-position-horizontal-relative:page;mso-position-vertical-relative:page;position:absolute;z-index:-251650048">
            <v:imagedata r:id="rId13" o:title=""/>
          </v:shape>
        </w:pict>
      </w:r>
      <w:r>
        <w:rPr>
          <w:noProof/>
        </w:rPr>
        <w:pict>
          <v:shape id="_x0000_s1035" type="#_x0000_t75" style="width:492.05pt;height:144.1pt;margin-top:611.35pt;margin-left:46.05pt;mso-position-horizontal-relative:page;mso-position-vertical-relative:page;position:absolute;z-index:-251655168">
            <v:imagedata r:id="rId14" o:title=""/>
          </v:shape>
        </w:pict>
      </w:r>
    </w:p>
    <w:p>
      <w:pPr>
        <w:spacing w:line="0" w:lineRule="atLeast"/>
        <w:rPr>
          <w:rFonts w:ascii="Arial" w:eastAsiaTheme="minorEastAsia" w:hAnsiTheme="minorHAnsi" w:cstheme="minorBidi"/>
          <w:color w:val="FF0000"/>
          <w:sz w:val="2"/>
          <w:szCs w:val="22"/>
          <w:lang w:val="en-US" w:eastAsia="en-US" w:bidi="ar-SA"/>
        </w:rPr>
      </w:pPr>
      <w:bookmarkStart w:id="4" w:name="br1_3"/>
      <w:bookmarkEnd w:id="4"/>
      <w:r>
        <w:rPr>
          <w:rFonts w:ascii="Arial" w:eastAsiaTheme="minorEastAsia" w:hAnsiTheme="minorHAnsi" w:cstheme="minorBidi"/>
          <w:color w:val="FF0000"/>
          <w:sz w:val="2"/>
          <w:szCs w:val="22"/>
          <w:lang w:val="en-US" w:eastAsia="en-US" w:bidi="ar-SA"/>
        </w:rPr>
        <w:t xml:space="preserve"> </w:t>
      </w:r>
    </w:p>
    <w:p>
      <w:pPr>
        <w:framePr w:w="1913" w:x="5367" w:y="859"/>
        <w:widowControl w:val="0"/>
        <w:autoSpaceDE w:val="0"/>
        <w:autoSpaceDN w:val="0"/>
        <w:spacing w:line="180" w:lineRule="exact"/>
        <w:rPr>
          <w:rFonts w:eastAsiaTheme="minorEastAsia" w:hAnsiTheme="minorHAnsi" w:cstheme="minorBidi"/>
          <w:color w:val="000000"/>
          <w:sz w:val="18"/>
          <w:szCs w:val="22"/>
          <w:lang w:val="en-US" w:eastAsia="en-US" w:bidi="ar-SA"/>
        </w:rPr>
      </w:pPr>
      <w:r>
        <w:rPr>
          <w:rFonts w:ascii="SimSun" w:eastAsiaTheme="minorEastAsia" w:hAnsiTheme="minorHAnsi" w:cstheme="minorBidi"/>
          <w:color w:val="000000"/>
          <w:spacing w:val="1"/>
          <w:sz w:val="18"/>
          <w:szCs w:val="22"/>
          <w:lang w:val="en-US" w:eastAsia="en-US" w:bidi="ar-SA"/>
        </w:rPr>
        <w:t>2021</w:t>
      </w:r>
      <w:r>
        <w:rPr>
          <w:rFonts w:ascii="SimSun" w:hAnsi="SimSun" w:eastAsiaTheme="minorEastAsia" w:cs="SimSun"/>
          <w:color w:val="000000"/>
          <w:sz w:val="18"/>
          <w:szCs w:val="22"/>
          <w:lang w:val="en-US" w:eastAsia="en-US" w:bidi="ar-SA"/>
        </w:rPr>
        <w:t>年第一季度报告</w:t>
      </w:r>
    </w:p>
    <w:p>
      <w:pPr>
        <w:framePr w:w="1085" w:x="1731" w:y="1569"/>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应付票据</w:t>
      </w:r>
    </w:p>
    <w:p>
      <w:pPr>
        <w:framePr w:w="1085" w:x="1731" w:y="1569"/>
        <w:widowControl w:val="0"/>
        <w:autoSpaceDE w:val="0"/>
        <w:autoSpaceDN w:val="0"/>
        <w:spacing w:before="11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应付账款</w:t>
      </w:r>
    </w:p>
    <w:p>
      <w:pPr>
        <w:framePr w:w="1718" w:x="4189" w:y="1569"/>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318,685,000.00</w:t>
      </w:r>
    </w:p>
    <w:p>
      <w:pPr>
        <w:framePr w:w="1718" w:x="6738" w:y="1569"/>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265,430,000.00</w:t>
      </w:r>
    </w:p>
    <w:p>
      <w:pPr>
        <w:framePr w:w="1718" w:x="6738" w:y="1569"/>
        <w:widowControl w:val="0"/>
        <w:autoSpaceDE w:val="0"/>
        <w:autoSpaceDN w:val="0"/>
        <w:spacing w:before="111"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174,695,394.97</w:t>
      </w:r>
    </w:p>
    <w:p>
      <w:pPr>
        <w:framePr w:w="1718" w:x="6738" w:y="1569"/>
        <w:widowControl w:val="0"/>
        <w:autoSpaceDE w:val="0"/>
        <w:autoSpaceDN w:val="0"/>
        <w:spacing w:before="110"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108,252,970.88</w:t>
      </w:r>
    </w:p>
    <w:p>
      <w:pPr>
        <w:framePr w:w="1718" w:x="6738" w:y="1569"/>
        <w:widowControl w:val="0"/>
        <w:autoSpaceDE w:val="0"/>
        <w:autoSpaceDN w:val="0"/>
        <w:spacing w:before="110" w:line="211" w:lineRule="exact"/>
        <w:ind w:left="211"/>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1,474,708.92</w:t>
      </w:r>
    </w:p>
    <w:p>
      <w:pPr>
        <w:framePr w:w="1718" w:x="6738" w:y="1569"/>
        <w:widowControl w:val="0"/>
        <w:autoSpaceDE w:val="0"/>
        <w:autoSpaceDN w:val="0"/>
        <w:spacing w:before="110" w:line="211" w:lineRule="exact"/>
        <w:ind w:left="211"/>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3,116,340.19</w:t>
      </w:r>
    </w:p>
    <w:p>
      <w:pPr>
        <w:framePr w:w="1718" w:x="6738" w:y="1569"/>
        <w:widowControl w:val="0"/>
        <w:autoSpaceDE w:val="0"/>
        <w:autoSpaceDN w:val="0"/>
        <w:spacing w:before="110" w:line="211" w:lineRule="exact"/>
        <w:ind w:left="211"/>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1,310,525.28</w:t>
      </w:r>
    </w:p>
    <w:p>
      <w:pPr>
        <w:framePr w:w="1718" w:x="6738" w:y="1569"/>
        <w:widowControl w:val="0"/>
        <w:autoSpaceDE w:val="0"/>
        <w:autoSpaceDN w:val="0"/>
        <w:spacing w:before="113" w:line="211" w:lineRule="exact"/>
        <w:ind w:left="211"/>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1,710,085.93</w:t>
      </w:r>
    </w:p>
    <w:p>
      <w:pPr>
        <w:framePr w:w="1718" w:x="6738" w:y="1569"/>
        <w:widowControl w:val="0"/>
        <w:autoSpaceDE w:val="0"/>
        <w:autoSpaceDN w:val="0"/>
        <w:spacing w:before="110"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368,138,134.73</w:t>
      </w:r>
    </w:p>
    <w:p>
      <w:pPr>
        <w:framePr w:w="1718" w:x="6738" w:y="1569"/>
        <w:widowControl w:val="0"/>
        <w:autoSpaceDE w:val="0"/>
        <w:autoSpaceDN w:val="0"/>
        <w:spacing w:before="110"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255,799,335.61</w:t>
      </w:r>
    </w:p>
    <w:p>
      <w:pPr>
        <w:framePr w:w="1718" w:x="6738" w:y="1569"/>
        <w:widowControl w:val="0"/>
        <w:autoSpaceDE w:val="0"/>
        <w:autoSpaceDN w:val="0"/>
        <w:spacing w:before="110" w:line="211" w:lineRule="exact"/>
        <w:ind w:left="209"/>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1,285,418.55</w:t>
      </w:r>
    </w:p>
    <w:p>
      <w:pPr>
        <w:framePr w:w="1718" w:x="6738" w:y="1569"/>
        <w:widowControl w:val="0"/>
        <w:autoSpaceDE w:val="0"/>
        <w:autoSpaceDN w:val="0"/>
        <w:spacing w:before="110" w:line="211" w:lineRule="exact"/>
        <w:ind w:left="211"/>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8,900,380.77</w:t>
      </w:r>
    </w:p>
    <w:p>
      <w:pPr>
        <w:framePr w:w="1718" w:x="6738" w:y="1569"/>
        <w:widowControl w:val="0"/>
        <w:autoSpaceDE w:val="0"/>
        <w:autoSpaceDN w:val="0"/>
        <w:spacing w:before="110" w:line="211" w:lineRule="exact"/>
        <w:ind w:left="106"/>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45,114,320.72</w:t>
      </w:r>
    </w:p>
    <w:p>
      <w:pPr>
        <w:framePr w:w="1718" w:x="6738" w:y="1569"/>
        <w:widowControl w:val="0"/>
        <w:autoSpaceDE w:val="0"/>
        <w:autoSpaceDN w:val="0"/>
        <w:spacing w:before="113" w:line="211" w:lineRule="exact"/>
        <w:ind w:left="420"/>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693,195.15</w:t>
      </w:r>
    </w:p>
    <w:p>
      <w:pPr>
        <w:framePr w:w="768" w:x="8964" w:y="1569"/>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20.06</w:t>
      </w:r>
    </w:p>
    <w:p>
      <w:pPr>
        <w:framePr w:w="768" w:x="8964" w:y="1569"/>
        <w:widowControl w:val="0"/>
        <w:autoSpaceDE w:val="0"/>
        <w:autoSpaceDN w:val="0"/>
        <w:spacing w:before="111"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23.55</w:t>
      </w:r>
    </w:p>
    <w:p>
      <w:pPr>
        <w:framePr w:w="610" w:x="9984" w:y="1569"/>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注</w:t>
      </w:r>
      <w:r>
        <w:rPr>
          <w:rFonts w:eastAsiaTheme="minorEastAsia" w:hAnsiTheme="minorHAnsi" w:cstheme="minorBidi"/>
          <w:color w:val="000000"/>
          <w:spacing w:val="2"/>
          <w:sz w:val="21"/>
          <w:szCs w:val="22"/>
          <w:lang w:val="en-US" w:eastAsia="en-US" w:bidi="ar-SA"/>
        </w:rPr>
        <w:t xml:space="preserve"> </w:t>
      </w:r>
      <w:r>
        <w:rPr>
          <w:rFonts w:ascii="SimSun" w:eastAsiaTheme="minorEastAsia" w:hAnsiTheme="minorHAnsi" w:cstheme="minorBidi"/>
          <w:color w:val="000000"/>
          <w:sz w:val="21"/>
          <w:szCs w:val="22"/>
          <w:lang w:val="en-US" w:eastAsia="en-US" w:bidi="ar-SA"/>
        </w:rPr>
        <w:t>8</w:t>
      </w:r>
    </w:p>
    <w:p>
      <w:pPr>
        <w:framePr w:w="1718" w:x="4189" w:y="1891"/>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215,832,099.62</w:t>
      </w:r>
    </w:p>
    <w:p>
      <w:pPr>
        <w:framePr w:w="1718" w:x="4189" w:y="1891"/>
        <w:widowControl w:val="0"/>
        <w:autoSpaceDE w:val="0"/>
        <w:autoSpaceDN w:val="0"/>
        <w:spacing w:before="110"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163,202,473.08</w:t>
      </w:r>
    </w:p>
    <w:p>
      <w:pPr>
        <w:framePr w:w="1718" w:x="4189" w:y="1891"/>
        <w:widowControl w:val="0"/>
        <w:autoSpaceDE w:val="0"/>
        <w:autoSpaceDN w:val="0"/>
        <w:spacing w:before="110" w:line="211" w:lineRule="exact"/>
        <w:ind w:left="211"/>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5,482,529.76</w:t>
      </w:r>
    </w:p>
    <w:p>
      <w:pPr>
        <w:framePr w:w="1718" w:x="4189" w:y="1891"/>
        <w:widowControl w:val="0"/>
        <w:autoSpaceDE w:val="0"/>
        <w:autoSpaceDN w:val="0"/>
        <w:spacing w:before="110" w:line="211" w:lineRule="exact"/>
        <w:ind w:left="211"/>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4,401,218.58</w:t>
      </w:r>
    </w:p>
    <w:p>
      <w:pPr>
        <w:framePr w:w="1718" w:x="4189" w:y="1891"/>
        <w:widowControl w:val="0"/>
        <w:autoSpaceDE w:val="0"/>
        <w:autoSpaceDN w:val="0"/>
        <w:spacing w:before="110" w:line="211" w:lineRule="exact"/>
        <w:ind w:left="211"/>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3,226,223.72</w:t>
      </w:r>
    </w:p>
    <w:p>
      <w:pPr>
        <w:framePr w:w="1718" w:x="4189" w:y="1891"/>
        <w:widowControl w:val="0"/>
        <w:autoSpaceDE w:val="0"/>
        <w:autoSpaceDN w:val="0"/>
        <w:spacing w:before="113" w:line="211" w:lineRule="exact"/>
        <w:ind w:left="420"/>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493,981.58</w:t>
      </w:r>
    </w:p>
    <w:p>
      <w:pPr>
        <w:framePr w:w="610" w:x="9984" w:y="1891"/>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注</w:t>
      </w:r>
      <w:r>
        <w:rPr>
          <w:rFonts w:eastAsiaTheme="minorEastAsia" w:hAnsiTheme="minorHAnsi" w:cstheme="minorBidi"/>
          <w:color w:val="000000"/>
          <w:spacing w:val="2"/>
          <w:sz w:val="21"/>
          <w:szCs w:val="22"/>
          <w:lang w:val="en-US" w:eastAsia="en-US" w:bidi="ar-SA"/>
        </w:rPr>
        <w:t xml:space="preserve"> </w:t>
      </w:r>
      <w:r>
        <w:rPr>
          <w:rFonts w:ascii="SimSun" w:eastAsiaTheme="minorEastAsia" w:hAnsiTheme="minorHAnsi" w:cstheme="minorBidi"/>
          <w:color w:val="000000"/>
          <w:sz w:val="21"/>
          <w:szCs w:val="22"/>
          <w:lang w:val="en-US" w:eastAsia="en-US" w:bidi="ar-SA"/>
        </w:rPr>
        <w:t>9</w:t>
      </w:r>
    </w:p>
    <w:p>
      <w:pPr>
        <w:framePr w:w="1085" w:x="1731" w:y="2213"/>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合同负债</w:t>
      </w:r>
    </w:p>
    <w:p>
      <w:pPr>
        <w:framePr w:w="768" w:x="8964" w:y="2213"/>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50.76</w:t>
      </w:r>
    </w:p>
    <w:p>
      <w:pPr>
        <w:framePr w:w="715" w:x="9931" w:y="2213"/>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注</w:t>
      </w:r>
      <w:r>
        <w:rPr>
          <w:rFonts w:eastAsiaTheme="minorEastAsia" w:hAnsiTheme="minorHAnsi" w:cstheme="minorBidi"/>
          <w:color w:val="000000"/>
          <w:spacing w:val="1"/>
          <w:sz w:val="21"/>
          <w:szCs w:val="22"/>
          <w:lang w:val="en-US" w:eastAsia="en-US" w:bidi="ar-SA"/>
        </w:rPr>
        <w:t xml:space="preserve"> </w:t>
      </w:r>
      <w:r>
        <w:rPr>
          <w:rFonts w:ascii="SimSun" w:eastAsiaTheme="minorEastAsia" w:hAnsiTheme="minorHAnsi" w:cstheme="minorBidi"/>
          <w:color w:val="000000"/>
          <w:spacing w:val="1"/>
          <w:sz w:val="21"/>
          <w:szCs w:val="22"/>
          <w:lang w:val="en-US" w:eastAsia="en-US" w:bidi="ar-SA"/>
        </w:rPr>
        <w:t>10</w:t>
      </w:r>
    </w:p>
    <w:p>
      <w:pPr>
        <w:framePr w:w="715" w:x="9931" w:y="2213"/>
        <w:widowControl w:val="0"/>
        <w:autoSpaceDE w:val="0"/>
        <w:autoSpaceDN w:val="0"/>
        <w:spacing w:before="110" w:line="211" w:lineRule="exact"/>
        <w:rPr>
          <w:rFonts w:ascii="SimSun"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注</w:t>
      </w:r>
      <w:r>
        <w:rPr>
          <w:rFonts w:eastAsiaTheme="minorEastAsia" w:hAnsiTheme="minorHAnsi" w:cstheme="minorBidi"/>
          <w:color w:val="000000"/>
          <w:spacing w:val="1"/>
          <w:sz w:val="21"/>
          <w:szCs w:val="22"/>
          <w:lang w:val="en-US" w:eastAsia="en-US" w:bidi="ar-SA"/>
        </w:rPr>
        <w:t xml:space="preserve"> </w:t>
      </w:r>
      <w:r>
        <w:rPr>
          <w:rFonts w:ascii="SimSun" w:eastAsiaTheme="minorEastAsia" w:hAnsiTheme="minorHAnsi" w:cstheme="minorBidi"/>
          <w:color w:val="000000"/>
          <w:spacing w:val="1"/>
          <w:sz w:val="21"/>
          <w:szCs w:val="22"/>
          <w:lang w:val="en-US" w:eastAsia="en-US" w:bidi="ar-SA"/>
        </w:rPr>
        <w:t>11</w:t>
      </w:r>
    </w:p>
    <w:p>
      <w:pPr>
        <w:framePr w:w="715" w:x="9931" w:y="2213"/>
        <w:widowControl w:val="0"/>
        <w:autoSpaceDE w:val="0"/>
        <w:autoSpaceDN w:val="0"/>
        <w:spacing w:before="110" w:line="211" w:lineRule="exact"/>
        <w:rPr>
          <w:rFonts w:ascii="SimSun"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注</w:t>
      </w:r>
      <w:r>
        <w:rPr>
          <w:rFonts w:eastAsiaTheme="minorEastAsia" w:hAnsiTheme="minorHAnsi" w:cstheme="minorBidi"/>
          <w:color w:val="000000"/>
          <w:spacing w:val="1"/>
          <w:sz w:val="21"/>
          <w:szCs w:val="22"/>
          <w:lang w:val="en-US" w:eastAsia="en-US" w:bidi="ar-SA"/>
        </w:rPr>
        <w:t xml:space="preserve"> </w:t>
      </w:r>
      <w:r>
        <w:rPr>
          <w:rFonts w:ascii="SimSun" w:eastAsiaTheme="minorEastAsia" w:hAnsiTheme="minorHAnsi" w:cstheme="minorBidi"/>
          <w:color w:val="000000"/>
          <w:spacing w:val="1"/>
          <w:sz w:val="21"/>
          <w:szCs w:val="22"/>
          <w:lang w:val="en-US" w:eastAsia="en-US" w:bidi="ar-SA"/>
        </w:rPr>
        <w:t>12</w:t>
      </w:r>
    </w:p>
    <w:p>
      <w:pPr>
        <w:framePr w:w="715" w:x="9931" w:y="2213"/>
        <w:widowControl w:val="0"/>
        <w:autoSpaceDE w:val="0"/>
        <w:autoSpaceDN w:val="0"/>
        <w:spacing w:before="110" w:line="211" w:lineRule="exact"/>
        <w:rPr>
          <w:rFonts w:ascii="SimSun"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注</w:t>
      </w:r>
      <w:r>
        <w:rPr>
          <w:rFonts w:eastAsiaTheme="minorEastAsia" w:hAnsiTheme="minorHAnsi" w:cstheme="minorBidi"/>
          <w:color w:val="000000"/>
          <w:spacing w:val="1"/>
          <w:sz w:val="21"/>
          <w:szCs w:val="22"/>
          <w:lang w:val="en-US" w:eastAsia="en-US" w:bidi="ar-SA"/>
        </w:rPr>
        <w:t xml:space="preserve"> </w:t>
      </w:r>
      <w:r>
        <w:rPr>
          <w:rFonts w:ascii="SimSun" w:eastAsiaTheme="minorEastAsia" w:hAnsiTheme="minorHAnsi" w:cstheme="minorBidi"/>
          <w:color w:val="000000"/>
          <w:spacing w:val="1"/>
          <w:sz w:val="21"/>
          <w:szCs w:val="22"/>
          <w:lang w:val="en-US" w:eastAsia="en-US" w:bidi="ar-SA"/>
        </w:rPr>
        <w:t>13</w:t>
      </w:r>
    </w:p>
    <w:p>
      <w:pPr>
        <w:framePr w:w="715" w:x="9931" w:y="2213"/>
        <w:widowControl w:val="0"/>
        <w:autoSpaceDE w:val="0"/>
        <w:autoSpaceDN w:val="0"/>
        <w:spacing w:before="113" w:line="211" w:lineRule="exact"/>
        <w:rPr>
          <w:rFonts w:ascii="SimSun"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注</w:t>
      </w:r>
      <w:r>
        <w:rPr>
          <w:rFonts w:eastAsiaTheme="minorEastAsia" w:hAnsiTheme="minorHAnsi" w:cstheme="minorBidi"/>
          <w:color w:val="000000"/>
          <w:spacing w:val="1"/>
          <w:sz w:val="21"/>
          <w:szCs w:val="22"/>
          <w:lang w:val="en-US" w:eastAsia="en-US" w:bidi="ar-SA"/>
        </w:rPr>
        <w:t xml:space="preserve"> </w:t>
      </w:r>
      <w:r>
        <w:rPr>
          <w:rFonts w:ascii="SimSun" w:eastAsiaTheme="minorEastAsia" w:hAnsiTheme="minorHAnsi" w:cstheme="minorBidi"/>
          <w:color w:val="000000"/>
          <w:spacing w:val="1"/>
          <w:sz w:val="21"/>
          <w:szCs w:val="22"/>
          <w:lang w:val="en-US" w:eastAsia="en-US" w:bidi="ar-SA"/>
        </w:rPr>
        <w:t>14</w:t>
      </w:r>
    </w:p>
    <w:p>
      <w:pPr>
        <w:framePr w:w="715" w:x="9931" w:y="2213"/>
        <w:widowControl w:val="0"/>
        <w:autoSpaceDE w:val="0"/>
        <w:autoSpaceDN w:val="0"/>
        <w:spacing w:before="110" w:line="211" w:lineRule="exact"/>
        <w:rPr>
          <w:rFonts w:ascii="SimSun"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注</w:t>
      </w:r>
      <w:r>
        <w:rPr>
          <w:rFonts w:eastAsiaTheme="minorEastAsia" w:hAnsiTheme="minorHAnsi" w:cstheme="minorBidi"/>
          <w:color w:val="000000"/>
          <w:spacing w:val="1"/>
          <w:sz w:val="21"/>
          <w:szCs w:val="22"/>
          <w:lang w:val="en-US" w:eastAsia="en-US" w:bidi="ar-SA"/>
        </w:rPr>
        <w:t xml:space="preserve"> </w:t>
      </w:r>
      <w:r>
        <w:rPr>
          <w:rFonts w:ascii="SimSun" w:eastAsiaTheme="minorEastAsia" w:hAnsiTheme="minorHAnsi" w:cstheme="minorBidi"/>
          <w:color w:val="000000"/>
          <w:spacing w:val="1"/>
          <w:sz w:val="21"/>
          <w:szCs w:val="22"/>
          <w:lang w:val="en-US" w:eastAsia="en-US" w:bidi="ar-SA"/>
        </w:rPr>
        <w:t>15</w:t>
      </w:r>
    </w:p>
    <w:p>
      <w:pPr>
        <w:framePr w:w="715" w:x="9931" w:y="2213"/>
        <w:widowControl w:val="0"/>
        <w:autoSpaceDE w:val="0"/>
        <w:autoSpaceDN w:val="0"/>
        <w:spacing w:before="110" w:line="211" w:lineRule="exact"/>
        <w:rPr>
          <w:rFonts w:ascii="SimSun"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注</w:t>
      </w:r>
      <w:r>
        <w:rPr>
          <w:rFonts w:eastAsiaTheme="minorEastAsia" w:hAnsiTheme="minorHAnsi" w:cstheme="minorBidi"/>
          <w:color w:val="000000"/>
          <w:spacing w:val="1"/>
          <w:sz w:val="21"/>
          <w:szCs w:val="22"/>
          <w:lang w:val="en-US" w:eastAsia="en-US" w:bidi="ar-SA"/>
        </w:rPr>
        <w:t xml:space="preserve"> </w:t>
      </w:r>
      <w:r>
        <w:rPr>
          <w:rFonts w:ascii="SimSun" w:eastAsiaTheme="minorEastAsia" w:hAnsiTheme="minorHAnsi" w:cstheme="minorBidi"/>
          <w:color w:val="000000"/>
          <w:spacing w:val="1"/>
          <w:sz w:val="21"/>
          <w:szCs w:val="22"/>
          <w:lang w:val="en-US" w:eastAsia="en-US" w:bidi="ar-SA"/>
        </w:rPr>
        <w:t>16</w:t>
      </w:r>
    </w:p>
    <w:p>
      <w:pPr>
        <w:framePr w:w="715" w:x="9931" w:y="2213"/>
        <w:widowControl w:val="0"/>
        <w:autoSpaceDE w:val="0"/>
        <w:autoSpaceDN w:val="0"/>
        <w:spacing w:before="110" w:line="211" w:lineRule="exact"/>
        <w:rPr>
          <w:rFonts w:ascii="SimSun"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注</w:t>
      </w:r>
      <w:r>
        <w:rPr>
          <w:rFonts w:eastAsiaTheme="minorEastAsia" w:hAnsiTheme="minorHAnsi" w:cstheme="minorBidi"/>
          <w:color w:val="000000"/>
          <w:spacing w:val="1"/>
          <w:sz w:val="21"/>
          <w:szCs w:val="22"/>
          <w:lang w:val="en-US" w:eastAsia="en-US" w:bidi="ar-SA"/>
        </w:rPr>
        <w:t xml:space="preserve"> </w:t>
      </w:r>
      <w:r>
        <w:rPr>
          <w:rFonts w:ascii="SimSun" w:eastAsiaTheme="minorEastAsia" w:hAnsiTheme="minorHAnsi" w:cstheme="minorBidi"/>
          <w:color w:val="000000"/>
          <w:spacing w:val="1"/>
          <w:sz w:val="21"/>
          <w:szCs w:val="22"/>
          <w:lang w:val="en-US" w:eastAsia="en-US" w:bidi="ar-SA"/>
        </w:rPr>
        <w:t>17</w:t>
      </w:r>
    </w:p>
    <w:p>
      <w:pPr>
        <w:framePr w:w="715" w:x="9931" w:y="2213"/>
        <w:widowControl w:val="0"/>
        <w:autoSpaceDE w:val="0"/>
        <w:autoSpaceDN w:val="0"/>
        <w:spacing w:before="110" w:line="211" w:lineRule="exact"/>
        <w:rPr>
          <w:rFonts w:ascii="SimSun"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注</w:t>
      </w:r>
      <w:r>
        <w:rPr>
          <w:rFonts w:eastAsiaTheme="minorEastAsia" w:hAnsiTheme="minorHAnsi" w:cstheme="minorBidi"/>
          <w:color w:val="000000"/>
          <w:spacing w:val="1"/>
          <w:sz w:val="21"/>
          <w:szCs w:val="22"/>
          <w:lang w:val="en-US" w:eastAsia="en-US" w:bidi="ar-SA"/>
        </w:rPr>
        <w:t xml:space="preserve"> </w:t>
      </w:r>
      <w:r>
        <w:rPr>
          <w:rFonts w:ascii="SimSun" w:eastAsiaTheme="minorEastAsia" w:hAnsiTheme="minorHAnsi" w:cstheme="minorBidi"/>
          <w:color w:val="000000"/>
          <w:spacing w:val="1"/>
          <w:sz w:val="21"/>
          <w:szCs w:val="22"/>
          <w:lang w:val="en-US" w:eastAsia="en-US" w:bidi="ar-SA"/>
        </w:rPr>
        <w:t>18</w:t>
      </w:r>
    </w:p>
    <w:p>
      <w:pPr>
        <w:framePr w:w="715" w:x="9931" w:y="2213"/>
        <w:widowControl w:val="0"/>
        <w:autoSpaceDE w:val="0"/>
        <w:autoSpaceDN w:val="0"/>
        <w:spacing w:before="110" w:line="211" w:lineRule="exact"/>
        <w:rPr>
          <w:rFonts w:ascii="SimSun"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注</w:t>
      </w:r>
      <w:r>
        <w:rPr>
          <w:rFonts w:eastAsiaTheme="minorEastAsia" w:hAnsiTheme="minorHAnsi" w:cstheme="minorBidi"/>
          <w:color w:val="000000"/>
          <w:spacing w:val="1"/>
          <w:sz w:val="21"/>
          <w:szCs w:val="22"/>
          <w:lang w:val="en-US" w:eastAsia="en-US" w:bidi="ar-SA"/>
        </w:rPr>
        <w:t xml:space="preserve"> </w:t>
      </w:r>
      <w:r>
        <w:rPr>
          <w:rFonts w:ascii="SimSun" w:eastAsiaTheme="minorEastAsia" w:hAnsiTheme="minorHAnsi" w:cstheme="minorBidi"/>
          <w:color w:val="000000"/>
          <w:spacing w:val="1"/>
          <w:sz w:val="21"/>
          <w:szCs w:val="22"/>
          <w:lang w:val="en-US" w:eastAsia="en-US" w:bidi="ar-SA"/>
        </w:rPr>
        <w:t>19</w:t>
      </w:r>
    </w:p>
    <w:p>
      <w:pPr>
        <w:framePr w:w="715" w:x="9931" w:y="2213"/>
        <w:widowControl w:val="0"/>
        <w:autoSpaceDE w:val="0"/>
        <w:autoSpaceDN w:val="0"/>
        <w:spacing w:before="113" w:line="211" w:lineRule="exact"/>
        <w:rPr>
          <w:rFonts w:ascii="SimSun"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注</w:t>
      </w:r>
      <w:r>
        <w:rPr>
          <w:rFonts w:eastAsiaTheme="minorEastAsia" w:hAnsiTheme="minorHAnsi" w:cstheme="minorBidi"/>
          <w:color w:val="000000"/>
          <w:spacing w:val="1"/>
          <w:sz w:val="21"/>
          <w:szCs w:val="22"/>
          <w:lang w:val="en-US" w:eastAsia="en-US" w:bidi="ar-SA"/>
        </w:rPr>
        <w:t xml:space="preserve"> </w:t>
      </w:r>
      <w:r>
        <w:rPr>
          <w:rFonts w:ascii="SimSun" w:eastAsiaTheme="minorEastAsia" w:hAnsiTheme="minorHAnsi" w:cstheme="minorBidi"/>
          <w:color w:val="000000"/>
          <w:spacing w:val="1"/>
          <w:sz w:val="21"/>
          <w:szCs w:val="22"/>
          <w:lang w:val="en-US" w:eastAsia="en-US" w:bidi="ar-SA"/>
        </w:rPr>
        <w:t>20</w:t>
      </w:r>
    </w:p>
    <w:p>
      <w:pPr>
        <w:framePr w:w="715" w:x="9931" w:y="2213"/>
        <w:widowControl w:val="0"/>
        <w:autoSpaceDE w:val="0"/>
        <w:autoSpaceDN w:val="0"/>
        <w:spacing w:before="110" w:line="211" w:lineRule="exact"/>
        <w:rPr>
          <w:rFonts w:ascii="SimSun"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注</w:t>
      </w:r>
      <w:r>
        <w:rPr>
          <w:rFonts w:eastAsiaTheme="minorEastAsia" w:hAnsiTheme="minorHAnsi" w:cstheme="minorBidi"/>
          <w:color w:val="000000"/>
          <w:spacing w:val="1"/>
          <w:sz w:val="21"/>
          <w:szCs w:val="22"/>
          <w:lang w:val="en-US" w:eastAsia="en-US" w:bidi="ar-SA"/>
        </w:rPr>
        <w:t xml:space="preserve"> </w:t>
      </w:r>
      <w:r>
        <w:rPr>
          <w:rFonts w:ascii="SimSun" w:eastAsiaTheme="minorEastAsia" w:hAnsiTheme="minorHAnsi" w:cstheme="minorBidi"/>
          <w:color w:val="000000"/>
          <w:spacing w:val="1"/>
          <w:sz w:val="21"/>
          <w:szCs w:val="22"/>
          <w:lang w:val="en-US" w:eastAsia="en-US" w:bidi="ar-SA"/>
        </w:rPr>
        <w:t>21</w:t>
      </w:r>
    </w:p>
    <w:p>
      <w:pPr>
        <w:framePr w:w="715" w:x="9931" w:y="2213"/>
        <w:widowControl w:val="0"/>
        <w:autoSpaceDE w:val="0"/>
        <w:autoSpaceDN w:val="0"/>
        <w:spacing w:before="110" w:line="211" w:lineRule="exact"/>
        <w:rPr>
          <w:rFonts w:ascii="SimSun"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注</w:t>
      </w:r>
      <w:r>
        <w:rPr>
          <w:rFonts w:eastAsiaTheme="minorEastAsia" w:hAnsiTheme="minorHAnsi" w:cstheme="minorBidi"/>
          <w:color w:val="000000"/>
          <w:spacing w:val="1"/>
          <w:sz w:val="21"/>
          <w:szCs w:val="22"/>
          <w:lang w:val="en-US" w:eastAsia="en-US" w:bidi="ar-SA"/>
        </w:rPr>
        <w:t xml:space="preserve"> </w:t>
      </w:r>
      <w:r>
        <w:rPr>
          <w:rFonts w:ascii="SimSun" w:eastAsiaTheme="minorEastAsia" w:hAnsiTheme="minorHAnsi" w:cstheme="minorBidi"/>
          <w:color w:val="000000"/>
          <w:spacing w:val="1"/>
          <w:sz w:val="21"/>
          <w:szCs w:val="22"/>
          <w:lang w:val="en-US" w:eastAsia="en-US" w:bidi="ar-SA"/>
        </w:rPr>
        <w:t>22</w:t>
      </w:r>
    </w:p>
    <w:p>
      <w:pPr>
        <w:framePr w:w="715" w:x="9931" w:y="2213"/>
        <w:widowControl w:val="0"/>
        <w:autoSpaceDE w:val="0"/>
        <w:autoSpaceDN w:val="0"/>
        <w:spacing w:before="110" w:line="211" w:lineRule="exact"/>
        <w:rPr>
          <w:rFonts w:ascii="SimSun"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注</w:t>
      </w:r>
      <w:r>
        <w:rPr>
          <w:rFonts w:eastAsiaTheme="minorEastAsia" w:hAnsiTheme="minorHAnsi" w:cstheme="minorBidi"/>
          <w:color w:val="000000"/>
          <w:spacing w:val="1"/>
          <w:sz w:val="21"/>
          <w:szCs w:val="22"/>
          <w:lang w:val="en-US" w:eastAsia="en-US" w:bidi="ar-SA"/>
        </w:rPr>
        <w:t xml:space="preserve"> </w:t>
      </w:r>
      <w:r>
        <w:rPr>
          <w:rFonts w:ascii="SimSun" w:eastAsiaTheme="minorEastAsia" w:hAnsiTheme="minorHAnsi" w:cstheme="minorBidi"/>
          <w:color w:val="000000"/>
          <w:spacing w:val="1"/>
          <w:sz w:val="21"/>
          <w:szCs w:val="22"/>
          <w:lang w:val="en-US" w:eastAsia="en-US" w:bidi="ar-SA"/>
        </w:rPr>
        <w:t>23</w:t>
      </w:r>
    </w:p>
    <w:p>
      <w:pPr>
        <w:framePr w:w="715" w:x="9931" w:y="2213"/>
        <w:widowControl w:val="0"/>
        <w:autoSpaceDE w:val="0"/>
        <w:autoSpaceDN w:val="0"/>
        <w:spacing w:before="110" w:line="211" w:lineRule="exact"/>
        <w:rPr>
          <w:rFonts w:ascii="SimSun"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注</w:t>
      </w:r>
      <w:r>
        <w:rPr>
          <w:rFonts w:eastAsiaTheme="minorEastAsia" w:hAnsiTheme="minorHAnsi" w:cstheme="minorBidi"/>
          <w:color w:val="000000"/>
          <w:spacing w:val="1"/>
          <w:sz w:val="21"/>
          <w:szCs w:val="22"/>
          <w:lang w:val="en-US" w:eastAsia="en-US" w:bidi="ar-SA"/>
        </w:rPr>
        <w:t xml:space="preserve"> </w:t>
      </w:r>
      <w:r>
        <w:rPr>
          <w:rFonts w:ascii="SimSun" w:eastAsiaTheme="minorEastAsia" w:hAnsiTheme="minorHAnsi" w:cstheme="minorBidi"/>
          <w:color w:val="000000"/>
          <w:spacing w:val="1"/>
          <w:sz w:val="21"/>
          <w:szCs w:val="22"/>
          <w:lang w:val="en-US" w:eastAsia="en-US" w:bidi="ar-SA"/>
        </w:rPr>
        <w:t>24</w:t>
      </w:r>
    </w:p>
    <w:p>
      <w:pPr>
        <w:framePr w:w="1085" w:x="1731" w:y="2534"/>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应交税费</w:t>
      </w:r>
    </w:p>
    <w:p>
      <w:pPr>
        <w:framePr w:w="874" w:x="8858" w:y="2534"/>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271.77</w:t>
      </w:r>
    </w:p>
    <w:p>
      <w:pPr>
        <w:framePr w:w="874" w:x="8858" w:y="2534"/>
        <w:widowControl w:val="0"/>
        <w:autoSpaceDE w:val="0"/>
        <w:autoSpaceDN w:val="0"/>
        <w:spacing w:before="110" w:line="211" w:lineRule="exact"/>
        <w:ind w:left="106"/>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41.23</w:t>
      </w:r>
    </w:p>
    <w:p>
      <w:pPr>
        <w:framePr w:w="1507" w:x="1522" w:y="2856"/>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其他流动负债</w:t>
      </w:r>
    </w:p>
    <w:p>
      <w:pPr>
        <w:framePr w:w="1507" w:x="1522" w:y="2856"/>
        <w:widowControl w:val="0"/>
        <w:autoSpaceDE w:val="0"/>
        <w:autoSpaceDN w:val="0"/>
        <w:spacing w:before="110" w:line="211" w:lineRule="exact"/>
        <w:ind w:left="209"/>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预计负债</w:t>
      </w:r>
    </w:p>
    <w:p>
      <w:pPr>
        <w:framePr w:w="874" w:x="8858" w:y="3177"/>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146.18</w:t>
      </w:r>
    </w:p>
    <w:p>
      <w:pPr>
        <w:framePr w:w="874" w:x="8858" w:y="3177"/>
        <w:widowControl w:val="0"/>
        <w:autoSpaceDE w:val="0"/>
        <w:autoSpaceDN w:val="0"/>
        <w:spacing w:before="113"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-71.11</w:t>
      </w:r>
    </w:p>
    <w:p>
      <w:pPr>
        <w:framePr w:w="874" w:x="8858" w:y="3177"/>
        <w:widowControl w:val="0"/>
        <w:autoSpaceDE w:val="0"/>
        <w:autoSpaceDN w:val="0"/>
        <w:spacing w:before="110" w:line="211" w:lineRule="exact"/>
        <w:ind w:left="106"/>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21.17</w:t>
      </w:r>
    </w:p>
    <w:p>
      <w:pPr>
        <w:framePr w:w="1718" w:x="1416" w:y="3501"/>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递延所得税负债</w:t>
      </w:r>
    </w:p>
    <w:p>
      <w:pPr>
        <w:framePr w:w="1718" w:x="1416" w:y="3501"/>
        <w:widowControl w:val="0"/>
        <w:autoSpaceDE w:val="0"/>
        <w:autoSpaceDN w:val="0"/>
        <w:spacing w:before="110" w:line="211" w:lineRule="exact"/>
        <w:ind w:left="314"/>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营业收入</w:t>
      </w:r>
    </w:p>
    <w:p>
      <w:pPr>
        <w:framePr w:w="1718" w:x="4189" w:y="3823"/>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446,091,252.68</w:t>
      </w:r>
    </w:p>
    <w:p>
      <w:pPr>
        <w:framePr w:w="1718" w:x="4189" w:y="3823"/>
        <w:widowControl w:val="0"/>
        <w:autoSpaceDE w:val="0"/>
        <w:autoSpaceDN w:val="0"/>
        <w:spacing w:before="110"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359,653,807.74</w:t>
      </w:r>
    </w:p>
    <w:p>
      <w:pPr>
        <w:framePr w:w="1718" w:x="4189" w:y="3823"/>
        <w:widowControl w:val="0"/>
        <w:autoSpaceDE w:val="0"/>
        <w:autoSpaceDN w:val="0"/>
        <w:spacing w:before="110" w:line="211" w:lineRule="exact"/>
        <w:ind w:left="209"/>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1,743,439.58</w:t>
      </w:r>
    </w:p>
    <w:p>
      <w:pPr>
        <w:framePr w:w="1718" w:x="4189" w:y="3823"/>
        <w:widowControl w:val="0"/>
        <w:autoSpaceDE w:val="0"/>
        <w:autoSpaceDN w:val="0"/>
        <w:spacing w:before="110" w:line="211" w:lineRule="exact"/>
        <w:ind w:left="211"/>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5,898,410.65</w:t>
      </w:r>
    </w:p>
    <w:p>
      <w:pPr>
        <w:framePr w:w="1718" w:x="4189" w:y="3823"/>
        <w:widowControl w:val="0"/>
        <w:autoSpaceDE w:val="0"/>
        <w:autoSpaceDN w:val="0"/>
        <w:spacing w:before="110" w:line="211" w:lineRule="exact"/>
        <w:ind w:left="106"/>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34,635,873.55</w:t>
      </w:r>
    </w:p>
    <w:p>
      <w:pPr>
        <w:framePr w:w="1718" w:x="4189" w:y="3823"/>
        <w:widowControl w:val="0"/>
        <w:autoSpaceDE w:val="0"/>
        <w:autoSpaceDN w:val="0"/>
        <w:spacing w:before="113" w:line="211" w:lineRule="exact"/>
        <w:ind w:left="106"/>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-2,178,956.01</w:t>
      </w:r>
    </w:p>
    <w:p>
      <w:pPr>
        <w:framePr w:w="1718" w:x="4189" w:y="3823"/>
        <w:widowControl w:val="0"/>
        <w:autoSpaceDE w:val="0"/>
        <w:autoSpaceDN w:val="0"/>
        <w:spacing w:before="110" w:line="211" w:lineRule="exact"/>
        <w:ind w:left="420"/>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303,613.53</w:t>
      </w:r>
    </w:p>
    <w:p>
      <w:pPr>
        <w:framePr w:w="1085" w:x="1731" w:y="4144"/>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营业成本</w:t>
      </w:r>
    </w:p>
    <w:p>
      <w:pPr>
        <w:framePr w:w="768" w:x="8964" w:y="4144"/>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40.60</w:t>
      </w:r>
    </w:p>
    <w:p>
      <w:pPr>
        <w:framePr w:w="1296" w:x="1625" w:y="4466"/>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税金及附加</w:t>
      </w:r>
    </w:p>
    <w:p>
      <w:pPr>
        <w:framePr w:w="1296" w:x="1625" w:y="4466"/>
        <w:widowControl w:val="0"/>
        <w:autoSpaceDE w:val="0"/>
        <w:autoSpaceDN w:val="0"/>
        <w:spacing w:before="110" w:line="211" w:lineRule="exact"/>
        <w:ind w:left="106"/>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销售费用</w:t>
      </w:r>
    </w:p>
    <w:p>
      <w:pPr>
        <w:framePr w:w="768" w:x="8964" w:y="4466"/>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35.63</w:t>
      </w:r>
    </w:p>
    <w:p>
      <w:pPr>
        <w:framePr w:w="979" w:x="8754" w:y="4788"/>
        <w:widowControl w:val="0"/>
        <w:autoSpaceDE w:val="0"/>
        <w:autoSpaceDN w:val="0"/>
        <w:spacing w:line="211" w:lineRule="exact"/>
        <w:ind w:left="104"/>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-33.73</w:t>
      </w:r>
    </w:p>
    <w:p>
      <w:pPr>
        <w:framePr w:w="979" w:x="8754" w:y="4788"/>
        <w:widowControl w:val="0"/>
        <w:autoSpaceDE w:val="0"/>
        <w:autoSpaceDN w:val="0"/>
        <w:spacing w:before="110" w:line="211" w:lineRule="exact"/>
        <w:ind w:left="104"/>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-23.23</w:t>
      </w:r>
    </w:p>
    <w:p>
      <w:pPr>
        <w:framePr w:w="979" w:x="8754" w:y="4788"/>
        <w:widowControl w:val="0"/>
        <w:autoSpaceDE w:val="0"/>
        <w:autoSpaceDN w:val="0"/>
        <w:spacing w:before="113"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-414.34</w:t>
      </w:r>
    </w:p>
    <w:p>
      <w:pPr>
        <w:framePr w:w="979" w:x="8754" w:y="4788"/>
        <w:widowControl w:val="0"/>
        <w:autoSpaceDE w:val="0"/>
        <w:autoSpaceDN w:val="0"/>
        <w:spacing w:before="110" w:line="211" w:lineRule="exact"/>
        <w:ind w:left="104"/>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-51.61</w:t>
      </w:r>
    </w:p>
    <w:p>
      <w:pPr>
        <w:framePr w:w="979" w:x="8754" w:y="4788"/>
        <w:widowControl w:val="0"/>
        <w:autoSpaceDE w:val="0"/>
        <w:autoSpaceDN w:val="0"/>
        <w:spacing w:before="110" w:line="211" w:lineRule="exact"/>
        <w:ind w:left="104"/>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320.16</w:t>
      </w:r>
    </w:p>
    <w:p>
      <w:pPr>
        <w:framePr w:w="979" w:x="8754" w:y="4788"/>
        <w:widowControl w:val="0"/>
        <w:autoSpaceDE w:val="0"/>
        <w:autoSpaceDN w:val="0"/>
        <w:spacing w:before="110"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-295.93</w:t>
      </w:r>
    </w:p>
    <w:p>
      <w:pPr>
        <w:framePr w:w="979" w:x="8754" w:y="4788"/>
        <w:widowControl w:val="0"/>
        <w:autoSpaceDE w:val="0"/>
        <w:autoSpaceDN w:val="0"/>
        <w:spacing w:before="110" w:line="211" w:lineRule="exact"/>
        <w:ind w:left="104"/>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-17.03</w:t>
      </w:r>
    </w:p>
    <w:p>
      <w:pPr>
        <w:framePr w:w="1085" w:x="1731" w:y="5109"/>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管理费用</w:t>
      </w:r>
    </w:p>
    <w:p>
      <w:pPr>
        <w:framePr w:w="1085" w:x="1731" w:y="5434"/>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财务费用</w:t>
      </w:r>
    </w:p>
    <w:p>
      <w:pPr>
        <w:framePr w:w="1085" w:x="1731" w:y="5755"/>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其他收益</w:t>
      </w:r>
    </w:p>
    <w:p>
      <w:pPr>
        <w:framePr w:w="1296" w:x="7158" w:y="5755"/>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627,431.64</w:t>
      </w:r>
    </w:p>
    <w:p>
      <w:pPr>
        <w:framePr w:w="1085" w:x="1731" w:y="6077"/>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投资收益</w:t>
      </w:r>
    </w:p>
    <w:p>
      <w:pPr>
        <w:framePr w:w="1613" w:x="4295" w:y="6077"/>
        <w:widowControl w:val="0"/>
        <w:autoSpaceDE w:val="0"/>
        <w:autoSpaceDN w:val="0"/>
        <w:spacing w:line="211" w:lineRule="exact"/>
        <w:ind w:left="106"/>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2,685,318.92</w:t>
      </w:r>
    </w:p>
    <w:p>
      <w:pPr>
        <w:framePr w:w="1613" w:x="4295" w:y="6077"/>
        <w:widowControl w:val="0"/>
        <w:autoSpaceDE w:val="0"/>
        <w:autoSpaceDN w:val="0"/>
        <w:spacing w:before="110"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-2,246,255.66</w:t>
      </w:r>
    </w:p>
    <w:p>
      <w:pPr>
        <w:framePr w:w="1613" w:x="4295" w:y="6077"/>
        <w:widowControl w:val="0"/>
        <w:autoSpaceDE w:val="0"/>
        <w:autoSpaceDN w:val="0"/>
        <w:spacing w:before="110"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20,699,023.43</w:t>
      </w:r>
    </w:p>
    <w:p>
      <w:pPr>
        <w:framePr w:w="1613" w:x="6844" w:y="6077"/>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-1,219,736.93</w:t>
      </w:r>
    </w:p>
    <w:p>
      <w:pPr>
        <w:framePr w:w="1613" w:x="6844" w:y="6077"/>
        <w:widowControl w:val="0"/>
        <w:autoSpaceDE w:val="0"/>
        <w:autoSpaceDN w:val="0"/>
        <w:spacing w:before="110" w:line="211" w:lineRule="exact"/>
        <w:ind w:left="211"/>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-567,339.80</w:t>
      </w:r>
    </w:p>
    <w:p>
      <w:pPr>
        <w:framePr w:w="1930" w:x="1311" w:y="6399"/>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公允价值变动收益</w:t>
      </w:r>
    </w:p>
    <w:p>
      <w:pPr>
        <w:framePr w:w="1930" w:x="1311" w:y="6399"/>
        <w:widowControl w:val="0"/>
        <w:autoSpaceDE w:val="0"/>
        <w:autoSpaceDN w:val="0"/>
        <w:spacing w:before="110" w:line="211" w:lineRule="exact"/>
        <w:ind w:left="526"/>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净利润</w:t>
      </w:r>
    </w:p>
    <w:p>
      <w:pPr>
        <w:framePr w:w="1613" w:x="6844" w:y="6720"/>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24,946,636.61</w:t>
      </w:r>
    </w:p>
    <w:p>
      <w:pPr>
        <w:framePr w:w="2352" w:x="1102" w:y="7042"/>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经营活动产生的现金流</w:t>
      </w:r>
    </w:p>
    <w:p>
      <w:pPr>
        <w:framePr w:w="2352" w:x="1102" w:y="7042"/>
        <w:widowControl w:val="0"/>
        <w:autoSpaceDE w:val="0"/>
        <w:autoSpaceDN w:val="0"/>
        <w:spacing w:before="101" w:line="211" w:lineRule="exact"/>
        <w:ind w:left="735"/>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量净额</w:t>
      </w:r>
    </w:p>
    <w:p>
      <w:pPr>
        <w:framePr w:w="1718" w:x="4189" w:y="7198"/>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-29,821,973.74</w:t>
      </w:r>
    </w:p>
    <w:p>
      <w:pPr>
        <w:framePr w:w="1613" w:x="6844" w:y="7198"/>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-5,625,279.46</w:t>
      </w:r>
    </w:p>
    <w:p>
      <w:pPr>
        <w:framePr w:w="979" w:x="8754" w:y="7198"/>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-430.14</w:t>
      </w:r>
    </w:p>
    <w:p>
      <w:pPr>
        <w:framePr w:w="715" w:x="9931" w:y="7198"/>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注</w:t>
      </w:r>
      <w:r>
        <w:rPr>
          <w:rFonts w:eastAsiaTheme="minorEastAsia" w:hAnsiTheme="minorHAnsi" w:cstheme="minorBidi"/>
          <w:color w:val="000000"/>
          <w:spacing w:val="1"/>
          <w:sz w:val="21"/>
          <w:szCs w:val="22"/>
          <w:lang w:val="en-US" w:eastAsia="en-US" w:bidi="ar-SA"/>
        </w:rPr>
        <w:t xml:space="preserve"> </w:t>
      </w:r>
      <w:r>
        <w:rPr>
          <w:rFonts w:ascii="SimSun" w:eastAsiaTheme="minorEastAsia" w:hAnsiTheme="minorHAnsi" w:cstheme="minorBidi"/>
          <w:color w:val="000000"/>
          <w:spacing w:val="1"/>
          <w:sz w:val="21"/>
          <w:szCs w:val="22"/>
          <w:lang w:val="en-US" w:eastAsia="en-US" w:bidi="ar-SA"/>
        </w:rPr>
        <w:t>25</w:t>
      </w:r>
    </w:p>
    <w:p>
      <w:pPr>
        <w:framePr w:w="3761" w:x="1798" w:y="7834"/>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注</w:t>
      </w:r>
      <w:r>
        <w:rPr>
          <w:rFonts w:eastAsiaTheme="minorEastAsia" w:hAnsiTheme="minorHAnsi" w:cstheme="minorBidi"/>
          <w:color w:val="000000"/>
          <w:spacing w:val="1"/>
          <w:sz w:val="21"/>
          <w:szCs w:val="22"/>
          <w:lang w:val="en-US" w:eastAsia="en-US" w:bidi="ar-SA"/>
        </w:rPr>
        <w:t xml:space="preserve"> </w:t>
      </w:r>
      <w:r>
        <w:rPr>
          <w:rFonts w:ascii="SimSun" w:eastAsiaTheme="minorEastAsia" w:hAnsiTheme="minorHAnsi" w:cstheme="minorBidi"/>
          <w:color w:val="000000"/>
          <w:spacing w:val="1"/>
          <w:sz w:val="21"/>
          <w:szCs w:val="22"/>
          <w:lang w:val="en-US" w:eastAsia="en-US" w:bidi="ar-SA"/>
        </w:rPr>
        <w:t>1</w:t>
      </w:r>
      <w:r>
        <w:rPr>
          <w:rFonts w:ascii="SimSun" w:hAnsi="SimSun" w:eastAsiaTheme="minorEastAsia" w:cs="SimSun"/>
          <w:color w:val="000000"/>
          <w:sz w:val="21"/>
          <w:szCs w:val="22"/>
          <w:lang w:val="en-US" w:eastAsia="en-US" w:bidi="ar-SA"/>
        </w:rPr>
        <w:t>：主要系购买理财产品所致。</w:t>
      </w:r>
    </w:p>
    <w:p>
      <w:pPr>
        <w:framePr w:w="3761" w:x="1798" w:y="7834"/>
        <w:widowControl w:val="0"/>
        <w:autoSpaceDE w:val="0"/>
        <w:autoSpaceDN w:val="0"/>
        <w:spacing w:before="257"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注</w:t>
      </w:r>
      <w:r>
        <w:rPr>
          <w:rFonts w:eastAsiaTheme="minorEastAsia" w:hAnsiTheme="minorHAnsi" w:cstheme="minorBidi"/>
          <w:color w:val="000000"/>
          <w:spacing w:val="1"/>
          <w:sz w:val="21"/>
          <w:szCs w:val="22"/>
          <w:lang w:val="en-US" w:eastAsia="en-US" w:bidi="ar-SA"/>
        </w:rPr>
        <w:t xml:space="preserve"> </w:t>
      </w:r>
      <w:r>
        <w:rPr>
          <w:rFonts w:ascii="SimSun" w:eastAsiaTheme="minorEastAsia" w:hAnsiTheme="minorHAnsi" w:cstheme="minorBidi"/>
          <w:color w:val="000000"/>
          <w:spacing w:val="1"/>
          <w:sz w:val="21"/>
          <w:szCs w:val="22"/>
          <w:lang w:val="en-US" w:eastAsia="en-US" w:bidi="ar-SA"/>
        </w:rPr>
        <w:t>2</w:t>
      </w:r>
      <w:r>
        <w:rPr>
          <w:rFonts w:ascii="SimSun" w:hAnsi="SimSun" w:eastAsiaTheme="minorEastAsia" w:cs="SimSun"/>
          <w:color w:val="000000"/>
          <w:sz w:val="21"/>
          <w:szCs w:val="22"/>
          <w:lang w:val="en-US" w:eastAsia="en-US" w:bidi="ar-SA"/>
        </w:rPr>
        <w:t>：主要系购买理财产品增加所致。</w:t>
      </w:r>
    </w:p>
    <w:p>
      <w:pPr>
        <w:framePr w:w="5444" w:x="1798" w:y="8770"/>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注</w:t>
      </w:r>
      <w:r>
        <w:rPr>
          <w:rFonts w:eastAsiaTheme="minorEastAsia" w:hAnsiTheme="minorHAnsi" w:cstheme="minorBidi"/>
          <w:color w:val="000000"/>
          <w:spacing w:val="1"/>
          <w:sz w:val="21"/>
          <w:szCs w:val="22"/>
          <w:lang w:val="en-US" w:eastAsia="en-US" w:bidi="ar-SA"/>
        </w:rPr>
        <w:t xml:space="preserve"> </w:t>
      </w:r>
      <w:r>
        <w:rPr>
          <w:rFonts w:ascii="SimSun" w:eastAsiaTheme="minorEastAsia" w:hAnsiTheme="minorHAnsi" w:cstheme="minorBidi"/>
          <w:color w:val="000000"/>
          <w:spacing w:val="1"/>
          <w:sz w:val="21"/>
          <w:szCs w:val="22"/>
          <w:lang w:val="en-US" w:eastAsia="en-US" w:bidi="ar-SA"/>
        </w:rPr>
        <w:t>3</w:t>
      </w:r>
      <w:r>
        <w:rPr>
          <w:rFonts w:ascii="SimSun" w:hAnsi="SimSun" w:eastAsiaTheme="minorEastAsia" w:cs="SimSun"/>
          <w:color w:val="000000"/>
          <w:sz w:val="21"/>
          <w:szCs w:val="22"/>
          <w:lang w:val="en-US" w:eastAsia="en-US" w:bidi="ar-SA"/>
        </w:rPr>
        <w:t>：主要系销售规模扩大，对部分客户调整账期所致。</w:t>
      </w:r>
    </w:p>
    <w:p>
      <w:pPr>
        <w:framePr w:w="5444" w:x="1798" w:y="8770"/>
        <w:widowControl w:val="0"/>
        <w:autoSpaceDE w:val="0"/>
        <w:autoSpaceDN w:val="0"/>
        <w:spacing w:before="257"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注</w:t>
      </w:r>
      <w:r>
        <w:rPr>
          <w:rFonts w:eastAsiaTheme="minorEastAsia" w:hAnsiTheme="minorHAnsi" w:cstheme="minorBidi"/>
          <w:color w:val="000000"/>
          <w:spacing w:val="1"/>
          <w:sz w:val="21"/>
          <w:szCs w:val="22"/>
          <w:lang w:val="en-US" w:eastAsia="en-US" w:bidi="ar-SA"/>
        </w:rPr>
        <w:t xml:space="preserve"> </w:t>
      </w:r>
      <w:r>
        <w:rPr>
          <w:rFonts w:ascii="SimSun" w:eastAsiaTheme="minorEastAsia" w:hAnsiTheme="minorHAnsi" w:cstheme="minorBidi"/>
          <w:color w:val="000000"/>
          <w:spacing w:val="1"/>
          <w:sz w:val="21"/>
          <w:szCs w:val="22"/>
          <w:lang w:val="en-US" w:eastAsia="en-US" w:bidi="ar-SA"/>
        </w:rPr>
        <w:t>4</w:t>
      </w:r>
      <w:r>
        <w:rPr>
          <w:rFonts w:ascii="SimSun" w:hAnsi="SimSun" w:eastAsiaTheme="minorEastAsia" w:cs="SimSun"/>
          <w:color w:val="000000"/>
          <w:sz w:val="21"/>
          <w:szCs w:val="22"/>
          <w:lang w:val="en-US" w:eastAsia="en-US" w:bidi="ar-SA"/>
        </w:rPr>
        <w:t>：主要系将应收票据背书转让支付采购款所致。</w:t>
      </w:r>
    </w:p>
    <w:p>
      <w:pPr>
        <w:framePr w:w="5444" w:x="1798" w:y="8770"/>
        <w:widowControl w:val="0"/>
        <w:autoSpaceDE w:val="0"/>
        <w:autoSpaceDN w:val="0"/>
        <w:spacing w:before="257"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注</w:t>
      </w:r>
      <w:r>
        <w:rPr>
          <w:rFonts w:eastAsiaTheme="minorEastAsia" w:hAnsiTheme="minorHAnsi" w:cstheme="minorBidi"/>
          <w:color w:val="000000"/>
          <w:spacing w:val="1"/>
          <w:sz w:val="21"/>
          <w:szCs w:val="22"/>
          <w:lang w:val="en-US" w:eastAsia="en-US" w:bidi="ar-SA"/>
        </w:rPr>
        <w:t xml:space="preserve"> </w:t>
      </w:r>
      <w:r>
        <w:rPr>
          <w:rFonts w:ascii="SimSun" w:eastAsiaTheme="minorEastAsia" w:hAnsiTheme="minorHAnsi" w:cstheme="minorBidi"/>
          <w:color w:val="000000"/>
          <w:spacing w:val="1"/>
          <w:sz w:val="21"/>
          <w:szCs w:val="22"/>
          <w:lang w:val="en-US" w:eastAsia="en-US" w:bidi="ar-SA"/>
        </w:rPr>
        <w:t>5</w:t>
      </w:r>
      <w:r>
        <w:rPr>
          <w:rFonts w:ascii="SimSun" w:hAnsi="SimSun" w:eastAsiaTheme="minorEastAsia" w:cs="SimSun"/>
          <w:color w:val="000000"/>
          <w:sz w:val="21"/>
          <w:szCs w:val="22"/>
          <w:lang w:val="en-US" w:eastAsia="en-US" w:bidi="ar-SA"/>
        </w:rPr>
        <w:t>：主要系提前备货导致预付材料款增加所致。</w:t>
      </w:r>
    </w:p>
    <w:p>
      <w:pPr>
        <w:framePr w:w="5444" w:x="1798" w:y="8770"/>
        <w:widowControl w:val="0"/>
        <w:autoSpaceDE w:val="0"/>
        <w:autoSpaceDN w:val="0"/>
        <w:spacing w:before="257"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注</w:t>
      </w:r>
      <w:r>
        <w:rPr>
          <w:rFonts w:eastAsiaTheme="minorEastAsia" w:hAnsiTheme="minorHAnsi" w:cstheme="minorBidi"/>
          <w:color w:val="000000"/>
          <w:spacing w:val="1"/>
          <w:sz w:val="21"/>
          <w:szCs w:val="22"/>
          <w:lang w:val="en-US" w:eastAsia="en-US" w:bidi="ar-SA"/>
        </w:rPr>
        <w:t xml:space="preserve"> </w:t>
      </w:r>
      <w:r>
        <w:rPr>
          <w:rFonts w:ascii="SimSun" w:eastAsiaTheme="minorEastAsia" w:hAnsiTheme="minorHAnsi" w:cstheme="minorBidi"/>
          <w:color w:val="000000"/>
          <w:spacing w:val="1"/>
          <w:sz w:val="21"/>
          <w:szCs w:val="22"/>
          <w:lang w:val="en-US" w:eastAsia="en-US" w:bidi="ar-SA"/>
        </w:rPr>
        <w:t>6</w:t>
      </w:r>
      <w:r>
        <w:rPr>
          <w:rFonts w:ascii="SimSun" w:hAnsi="SimSun" w:eastAsiaTheme="minorEastAsia" w:cs="SimSun"/>
          <w:color w:val="000000"/>
          <w:sz w:val="21"/>
          <w:szCs w:val="22"/>
          <w:lang w:val="en-US" w:eastAsia="en-US" w:bidi="ar-SA"/>
        </w:rPr>
        <w:t>：主要系预付设备款增加所致。</w:t>
      </w:r>
    </w:p>
    <w:p>
      <w:pPr>
        <w:framePr w:w="5444" w:x="1798" w:y="10636"/>
        <w:widowControl w:val="0"/>
        <w:autoSpaceDE w:val="0"/>
        <w:autoSpaceDN w:val="0"/>
        <w:spacing w:line="22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注</w:t>
      </w:r>
      <w:r>
        <w:rPr>
          <w:rFonts w:eastAsiaTheme="minorEastAsia" w:hAnsiTheme="minorHAnsi" w:cstheme="minorBidi"/>
          <w:color w:val="000000"/>
          <w:spacing w:val="1"/>
          <w:sz w:val="21"/>
          <w:szCs w:val="22"/>
          <w:lang w:val="en-US" w:eastAsia="en-US" w:bidi="ar-SA"/>
        </w:rPr>
        <w:t xml:space="preserve"> </w:t>
      </w:r>
      <w:r>
        <w:rPr>
          <w:rFonts w:ascii="SimSun" w:eastAsiaTheme="minorEastAsia" w:hAnsiTheme="minorHAnsi" w:cstheme="minorBidi"/>
          <w:color w:val="000000"/>
          <w:spacing w:val="1"/>
          <w:sz w:val="21"/>
          <w:szCs w:val="22"/>
          <w:lang w:val="en-US" w:eastAsia="en-US" w:bidi="ar-SA"/>
        </w:rPr>
        <w:t>7</w:t>
      </w:r>
      <w:r>
        <w:rPr>
          <w:rFonts w:ascii="SimSun" w:hAnsi="SimSun" w:eastAsiaTheme="minorEastAsia" w:cs="SimSun"/>
          <w:color w:val="000000"/>
          <w:spacing w:val="-1"/>
          <w:sz w:val="21"/>
          <w:szCs w:val="22"/>
          <w:lang w:val="en-US" w:eastAsia="en-US" w:bidi="ar-SA"/>
        </w:rPr>
        <w:t>：</w:t>
      </w:r>
      <w:r>
        <w:rPr>
          <w:rFonts w:ascii="SimSun" w:hAnsi="SimSun" w:eastAsiaTheme="minorEastAsia" w:cs="SimSun"/>
          <w:color w:val="000000"/>
          <w:sz w:val="22"/>
          <w:szCs w:val="22"/>
          <w:lang w:val="en-US" w:eastAsia="en-US" w:bidi="ar-SA"/>
        </w:rPr>
        <w:t>主要系未交割的远期结售汇合约减少所致</w:t>
      </w:r>
      <w:r>
        <w:rPr>
          <w:rFonts w:ascii="SimSun" w:hAnsi="SimSun" w:eastAsiaTheme="minorEastAsia" w:cs="SimSun"/>
          <w:color w:val="000000"/>
          <w:sz w:val="21"/>
          <w:szCs w:val="22"/>
          <w:lang w:val="en-US" w:eastAsia="en-US" w:bidi="ar-SA"/>
        </w:rPr>
        <w:t>。</w:t>
      </w:r>
    </w:p>
    <w:p>
      <w:pPr>
        <w:framePr w:w="5444" w:x="1798" w:y="10636"/>
        <w:widowControl w:val="0"/>
        <w:autoSpaceDE w:val="0"/>
        <w:autoSpaceDN w:val="0"/>
        <w:spacing w:before="253"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注</w:t>
      </w:r>
      <w:r>
        <w:rPr>
          <w:rFonts w:eastAsiaTheme="minorEastAsia" w:hAnsiTheme="minorHAnsi" w:cstheme="minorBidi"/>
          <w:color w:val="000000"/>
          <w:spacing w:val="1"/>
          <w:sz w:val="21"/>
          <w:szCs w:val="22"/>
          <w:lang w:val="en-US" w:eastAsia="en-US" w:bidi="ar-SA"/>
        </w:rPr>
        <w:t xml:space="preserve"> </w:t>
      </w:r>
      <w:r>
        <w:rPr>
          <w:rFonts w:ascii="SimSun" w:eastAsiaTheme="minorEastAsia" w:hAnsiTheme="minorHAnsi" w:cstheme="minorBidi"/>
          <w:color w:val="000000"/>
          <w:spacing w:val="1"/>
          <w:sz w:val="21"/>
          <w:szCs w:val="22"/>
          <w:lang w:val="en-US" w:eastAsia="en-US" w:bidi="ar-SA"/>
        </w:rPr>
        <w:t>8</w:t>
      </w:r>
      <w:r>
        <w:rPr>
          <w:rFonts w:ascii="SimSun" w:hAnsi="SimSun" w:eastAsiaTheme="minorEastAsia" w:cs="SimSun"/>
          <w:color w:val="000000"/>
          <w:sz w:val="21"/>
          <w:szCs w:val="22"/>
          <w:lang w:val="en-US" w:eastAsia="en-US" w:bidi="ar-SA"/>
        </w:rPr>
        <w:t>：主要系办理银行承兑汇票用于采购结算增加所致。</w:t>
      </w:r>
    </w:p>
    <w:p>
      <w:pPr>
        <w:framePr w:w="5444" w:x="1798" w:y="10636"/>
        <w:widowControl w:val="0"/>
        <w:autoSpaceDE w:val="0"/>
        <w:autoSpaceDN w:val="0"/>
        <w:spacing w:before="257"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注</w:t>
      </w:r>
      <w:r>
        <w:rPr>
          <w:rFonts w:eastAsiaTheme="minorEastAsia" w:hAnsiTheme="minorHAnsi" w:cstheme="minorBidi"/>
          <w:color w:val="000000"/>
          <w:spacing w:val="1"/>
          <w:sz w:val="21"/>
          <w:szCs w:val="22"/>
          <w:lang w:val="en-US" w:eastAsia="en-US" w:bidi="ar-SA"/>
        </w:rPr>
        <w:t xml:space="preserve"> </w:t>
      </w:r>
      <w:r>
        <w:rPr>
          <w:rFonts w:ascii="SimSun" w:eastAsiaTheme="minorEastAsia" w:hAnsiTheme="minorHAnsi" w:cstheme="minorBidi"/>
          <w:color w:val="000000"/>
          <w:spacing w:val="1"/>
          <w:sz w:val="21"/>
          <w:szCs w:val="22"/>
          <w:lang w:val="en-US" w:eastAsia="en-US" w:bidi="ar-SA"/>
        </w:rPr>
        <w:t>9</w:t>
      </w:r>
      <w:r>
        <w:rPr>
          <w:rFonts w:ascii="SimSun" w:hAnsi="SimSun" w:eastAsiaTheme="minorEastAsia" w:cs="SimSun"/>
          <w:color w:val="000000"/>
          <w:sz w:val="21"/>
          <w:szCs w:val="22"/>
          <w:lang w:val="en-US" w:eastAsia="en-US" w:bidi="ar-SA"/>
        </w:rPr>
        <w:t>：主要系采购原材料增加所致。</w:t>
      </w:r>
    </w:p>
    <w:p>
      <w:pPr>
        <w:framePr w:w="3444" w:x="1798" w:y="12046"/>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注</w:t>
      </w:r>
      <w:r>
        <w:rPr>
          <w:rFonts w:eastAsiaTheme="minorEastAsia" w:hAnsiTheme="minorHAnsi" w:cstheme="minorBidi"/>
          <w:color w:val="000000"/>
          <w:spacing w:val="1"/>
          <w:sz w:val="21"/>
          <w:szCs w:val="22"/>
          <w:lang w:val="en-US" w:eastAsia="en-US" w:bidi="ar-SA"/>
        </w:rPr>
        <w:t xml:space="preserve"> </w:t>
      </w:r>
      <w:r>
        <w:rPr>
          <w:rFonts w:ascii="SimSun" w:eastAsiaTheme="minorEastAsia" w:hAnsiTheme="minorHAnsi" w:cstheme="minorBidi"/>
          <w:color w:val="000000"/>
          <w:spacing w:val="-1"/>
          <w:sz w:val="21"/>
          <w:szCs w:val="22"/>
          <w:lang w:val="en-US" w:eastAsia="en-US" w:bidi="ar-SA"/>
        </w:rPr>
        <w:t>10</w:t>
      </w:r>
      <w:r>
        <w:rPr>
          <w:rFonts w:ascii="SimSun" w:hAnsi="SimSun" w:eastAsiaTheme="minorEastAsia" w:cs="SimSun"/>
          <w:color w:val="000000"/>
          <w:sz w:val="21"/>
          <w:szCs w:val="22"/>
          <w:lang w:val="en-US" w:eastAsia="en-US" w:bidi="ar-SA"/>
        </w:rPr>
        <w:t>：主要系预收货款增加所致。</w:t>
      </w:r>
    </w:p>
    <w:p>
      <w:pPr>
        <w:framePr w:w="4496" w:x="1798" w:y="12515"/>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注</w:t>
      </w:r>
      <w:r>
        <w:rPr>
          <w:rFonts w:eastAsiaTheme="minorEastAsia" w:hAnsiTheme="minorHAnsi" w:cstheme="minorBidi"/>
          <w:color w:val="000000"/>
          <w:spacing w:val="1"/>
          <w:sz w:val="21"/>
          <w:szCs w:val="22"/>
          <w:lang w:val="en-US" w:eastAsia="en-US" w:bidi="ar-SA"/>
        </w:rPr>
        <w:t xml:space="preserve"> </w:t>
      </w:r>
      <w:r>
        <w:rPr>
          <w:rFonts w:ascii="SimSun" w:eastAsiaTheme="minorEastAsia" w:hAnsiTheme="minorHAnsi" w:cstheme="minorBidi"/>
          <w:color w:val="000000"/>
          <w:spacing w:val="-1"/>
          <w:sz w:val="21"/>
          <w:szCs w:val="22"/>
          <w:lang w:val="en-US" w:eastAsia="en-US" w:bidi="ar-SA"/>
        </w:rPr>
        <w:t>11</w:t>
      </w:r>
      <w:r>
        <w:rPr>
          <w:rFonts w:ascii="SimSun" w:hAnsi="SimSun" w:eastAsiaTheme="minorEastAsia" w:cs="SimSun"/>
          <w:color w:val="000000"/>
          <w:sz w:val="21"/>
          <w:szCs w:val="22"/>
          <w:lang w:val="en-US" w:eastAsia="en-US" w:bidi="ar-SA"/>
        </w:rPr>
        <w:t>：主要系本期计提企业所得税增加所致。</w:t>
      </w:r>
    </w:p>
    <w:p>
      <w:pPr>
        <w:framePr w:w="4496" w:x="1798" w:y="12515"/>
        <w:widowControl w:val="0"/>
        <w:autoSpaceDE w:val="0"/>
        <w:autoSpaceDN w:val="0"/>
        <w:spacing w:before="257"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注</w:t>
      </w:r>
      <w:r>
        <w:rPr>
          <w:rFonts w:eastAsiaTheme="minorEastAsia" w:hAnsiTheme="minorHAnsi" w:cstheme="minorBidi"/>
          <w:color w:val="000000"/>
          <w:spacing w:val="1"/>
          <w:sz w:val="21"/>
          <w:szCs w:val="22"/>
          <w:lang w:val="en-US" w:eastAsia="en-US" w:bidi="ar-SA"/>
        </w:rPr>
        <w:t xml:space="preserve"> </w:t>
      </w:r>
      <w:r>
        <w:rPr>
          <w:rFonts w:ascii="SimSun" w:eastAsiaTheme="minorEastAsia" w:hAnsiTheme="minorHAnsi" w:cstheme="minorBidi"/>
          <w:color w:val="000000"/>
          <w:spacing w:val="-1"/>
          <w:sz w:val="21"/>
          <w:szCs w:val="22"/>
          <w:lang w:val="en-US" w:eastAsia="en-US" w:bidi="ar-SA"/>
        </w:rPr>
        <w:t>12</w:t>
      </w:r>
      <w:r>
        <w:rPr>
          <w:rFonts w:ascii="SimSun" w:hAnsi="SimSun" w:eastAsiaTheme="minorEastAsia" w:cs="SimSun"/>
          <w:color w:val="000000"/>
          <w:sz w:val="21"/>
          <w:szCs w:val="22"/>
          <w:lang w:val="en-US" w:eastAsia="en-US" w:bidi="ar-SA"/>
        </w:rPr>
        <w:t>：主要系预收货款税额增加所致。</w:t>
      </w:r>
    </w:p>
    <w:p>
      <w:pPr>
        <w:framePr w:w="3864" w:x="1798" w:y="13451"/>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注</w:t>
      </w:r>
      <w:r>
        <w:rPr>
          <w:rFonts w:eastAsiaTheme="minorEastAsia" w:hAnsiTheme="minorHAnsi" w:cstheme="minorBidi"/>
          <w:color w:val="000000"/>
          <w:spacing w:val="1"/>
          <w:sz w:val="21"/>
          <w:szCs w:val="22"/>
          <w:lang w:val="en-US" w:eastAsia="en-US" w:bidi="ar-SA"/>
        </w:rPr>
        <w:t xml:space="preserve"> </w:t>
      </w:r>
      <w:r>
        <w:rPr>
          <w:rFonts w:ascii="SimSun" w:eastAsiaTheme="minorEastAsia" w:hAnsiTheme="minorHAnsi" w:cstheme="minorBidi"/>
          <w:color w:val="000000"/>
          <w:spacing w:val="-1"/>
          <w:sz w:val="21"/>
          <w:szCs w:val="22"/>
          <w:lang w:val="en-US" w:eastAsia="en-US" w:bidi="ar-SA"/>
        </w:rPr>
        <w:t>13</w:t>
      </w:r>
      <w:r>
        <w:rPr>
          <w:rFonts w:ascii="SimSun" w:hAnsi="SimSun" w:eastAsiaTheme="minorEastAsia" w:cs="SimSun"/>
          <w:color w:val="000000"/>
          <w:sz w:val="21"/>
          <w:szCs w:val="22"/>
          <w:lang w:val="en-US" w:eastAsia="en-US" w:bidi="ar-SA"/>
        </w:rPr>
        <w:t>：主要系本期计提危废增加所致。</w:t>
      </w:r>
    </w:p>
    <w:p>
      <w:pPr>
        <w:framePr w:w="3864" w:x="1798" w:y="13919"/>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注</w:t>
      </w:r>
      <w:r>
        <w:rPr>
          <w:rFonts w:eastAsiaTheme="minorEastAsia" w:hAnsiTheme="minorHAnsi" w:cstheme="minorBidi"/>
          <w:color w:val="000000"/>
          <w:spacing w:val="1"/>
          <w:sz w:val="21"/>
          <w:szCs w:val="22"/>
          <w:lang w:val="en-US" w:eastAsia="en-US" w:bidi="ar-SA"/>
        </w:rPr>
        <w:t xml:space="preserve"> </w:t>
      </w:r>
      <w:r>
        <w:rPr>
          <w:rFonts w:ascii="SimSun" w:eastAsiaTheme="minorEastAsia" w:hAnsiTheme="minorHAnsi" w:cstheme="minorBidi"/>
          <w:color w:val="000000"/>
          <w:spacing w:val="-1"/>
          <w:sz w:val="21"/>
          <w:szCs w:val="22"/>
          <w:lang w:val="en-US" w:eastAsia="en-US" w:bidi="ar-SA"/>
        </w:rPr>
        <w:t>14</w:t>
      </w:r>
      <w:r>
        <w:rPr>
          <w:rFonts w:ascii="SimSun" w:hAnsi="SimSun" w:eastAsiaTheme="minorEastAsia" w:cs="SimSun"/>
          <w:color w:val="000000"/>
          <w:sz w:val="21"/>
          <w:szCs w:val="22"/>
          <w:lang w:val="en-US" w:eastAsia="en-US" w:bidi="ar-SA"/>
        </w:rPr>
        <w:t>：主要系公允价值变动减少所致。</w:t>
      </w:r>
    </w:p>
    <w:p>
      <w:pPr>
        <w:framePr w:w="3656" w:x="1798" w:y="14387"/>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注</w:t>
      </w:r>
      <w:r>
        <w:rPr>
          <w:rFonts w:eastAsiaTheme="minorEastAsia" w:hAnsiTheme="minorHAnsi" w:cstheme="minorBidi"/>
          <w:color w:val="000000"/>
          <w:spacing w:val="1"/>
          <w:sz w:val="21"/>
          <w:szCs w:val="22"/>
          <w:lang w:val="en-US" w:eastAsia="en-US" w:bidi="ar-SA"/>
        </w:rPr>
        <w:t xml:space="preserve"> </w:t>
      </w:r>
      <w:r>
        <w:rPr>
          <w:rFonts w:ascii="SimSun" w:eastAsiaTheme="minorEastAsia" w:hAnsiTheme="minorHAnsi" w:cstheme="minorBidi"/>
          <w:color w:val="000000"/>
          <w:spacing w:val="-1"/>
          <w:sz w:val="21"/>
          <w:szCs w:val="22"/>
          <w:lang w:val="en-US" w:eastAsia="en-US" w:bidi="ar-SA"/>
        </w:rPr>
        <w:t>15</w:t>
      </w:r>
      <w:r>
        <w:rPr>
          <w:rFonts w:ascii="SimSun" w:hAnsi="SimSun" w:eastAsiaTheme="minorEastAsia" w:cs="SimSun"/>
          <w:color w:val="000000"/>
          <w:sz w:val="21"/>
          <w:szCs w:val="22"/>
          <w:lang w:val="en-US" w:eastAsia="en-US" w:bidi="ar-SA"/>
        </w:rPr>
        <w:t>：主要系产品销售量增长所致。</w:t>
      </w:r>
    </w:p>
    <w:p>
      <w:pPr>
        <w:framePr w:w="7436" w:x="1798" w:y="14855"/>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注</w:t>
      </w:r>
      <w:r>
        <w:rPr>
          <w:rFonts w:eastAsiaTheme="minorEastAsia" w:hAnsiTheme="minorHAnsi" w:cstheme="minorBidi"/>
          <w:color w:val="000000"/>
          <w:spacing w:val="1"/>
          <w:sz w:val="21"/>
          <w:szCs w:val="22"/>
          <w:lang w:val="en-US" w:eastAsia="en-US" w:bidi="ar-SA"/>
        </w:rPr>
        <w:t xml:space="preserve"> </w:t>
      </w:r>
      <w:r>
        <w:rPr>
          <w:rFonts w:ascii="SimSun" w:eastAsiaTheme="minorEastAsia" w:hAnsiTheme="minorHAnsi" w:cstheme="minorBidi"/>
          <w:color w:val="000000"/>
          <w:spacing w:val="-1"/>
          <w:sz w:val="21"/>
          <w:szCs w:val="22"/>
          <w:lang w:val="en-US" w:eastAsia="en-US" w:bidi="ar-SA"/>
        </w:rPr>
        <w:t>16</w:t>
      </w:r>
      <w:r>
        <w:rPr>
          <w:rFonts w:ascii="SimSun" w:hAnsi="SimSun" w:eastAsiaTheme="minorEastAsia" w:cs="SimSun"/>
          <w:color w:val="000000"/>
          <w:sz w:val="21"/>
          <w:szCs w:val="22"/>
          <w:lang w:val="en-US" w:eastAsia="en-US" w:bidi="ar-SA"/>
        </w:rPr>
        <w:t>：主要系营业收入增长随之营业成本增长，及部分原材料价格上涨所致。</w:t>
      </w:r>
    </w:p>
    <w:p>
      <w:pPr>
        <w:framePr w:w="690" w:x="5989" w:y="15388"/>
        <w:widowControl w:val="0"/>
        <w:autoSpaceDE w:val="0"/>
        <w:autoSpaceDN w:val="0"/>
        <w:spacing w:line="180" w:lineRule="exact"/>
        <w:rPr>
          <w:rFonts w:ascii="SimSun" w:eastAsiaTheme="minorEastAsia" w:hAnsiTheme="minorHAnsi" w:cstheme="minorBidi"/>
          <w:color w:val="000000"/>
          <w:sz w:val="18"/>
          <w:szCs w:val="22"/>
          <w:lang w:val="en-US" w:eastAsia="en-US" w:bidi="ar-SA"/>
        </w:rPr>
      </w:pPr>
      <w:r>
        <w:rPr>
          <w:rFonts w:ascii="SimSun" w:eastAsiaTheme="minorEastAsia" w:hAnsiTheme="minorHAnsi" w:cstheme="minorBidi"/>
          <w:color w:val="000000"/>
          <w:sz w:val="18"/>
          <w:szCs w:val="22"/>
          <w:lang w:val="en-US" w:eastAsia="en-US" w:bidi="ar-SA"/>
        </w:rPr>
        <w:t>5</w:t>
      </w:r>
      <w:r>
        <w:rPr>
          <w:rFonts w:ascii="SimSun" w:eastAsiaTheme="minorEastAsia" w:hAnsiTheme="minorHAnsi" w:cstheme="minorBidi"/>
          <w:color w:val="000000"/>
          <w:spacing w:val="2"/>
          <w:sz w:val="18"/>
          <w:szCs w:val="22"/>
          <w:lang w:val="en-US" w:eastAsia="en-US" w:bidi="ar-SA"/>
        </w:rPr>
        <w:t xml:space="preserve"> </w:t>
      </w:r>
      <w:r>
        <w:rPr>
          <w:rFonts w:ascii="SimSun" w:eastAsiaTheme="minorEastAsia" w:hAnsiTheme="minorHAnsi" w:cstheme="minorBidi"/>
          <w:color w:val="000000"/>
          <w:sz w:val="18"/>
          <w:szCs w:val="22"/>
          <w:lang w:val="en-US" w:eastAsia="en-US" w:bidi="ar-SA"/>
        </w:rPr>
        <w:t>/</w:t>
      </w:r>
      <w:r>
        <w:rPr>
          <w:rFonts w:ascii="SimSun" w:eastAsiaTheme="minorEastAsia" w:hAnsiTheme="minorHAnsi" w:cstheme="minorBidi"/>
          <w:color w:val="000000"/>
          <w:spacing w:val="-2"/>
          <w:sz w:val="18"/>
          <w:szCs w:val="22"/>
          <w:lang w:val="en-US" w:eastAsia="en-US" w:bidi="ar-SA"/>
        </w:rPr>
        <w:t xml:space="preserve"> </w:t>
      </w:r>
      <w:r>
        <w:rPr>
          <w:rFonts w:ascii="SimSun" w:eastAsiaTheme="minorEastAsia" w:hAnsiTheme="minorHAnsi" w:cstheme="minorBidi"/>
          <w:color w:val="000000"/>
          <w:sz w:val="18"/>
          <w:szCs w:val="22"/>
          <w:lang w:val="en-US" w:eastAsia="en-US" w:bidi="ar-SA"/>
        </w:rPr>
        <w:t>6</w:t>
      </w:r>
    </w:p>
    <w:p>
      <w:pPr>
        <w:spacing w:line="0" w:lineRule="atLeast"/>
        <w:rPr>
          <w:rFonts w:ascii="Arial" w:eastAsiaTheme="minorEastAsia" w:hAnsiTheme="minorHAnsi" w:cstheme="minorBidi"/>
          <w:color w:val="FF0000"/>
          <w:sz w:val="2"/>
          <w:szCs w:val="22"/>
          <w:lang w:val="en-US" w:eastAsia="en-US" w:bidi="ar-SA"/>
        </w:rPr>
        <w:sectPr>
          <w:pgSz w:w="11900" w:h="16820"/>
          <w:pgMar w:top="0" w:right="0" w:bottom="0" w:left="0" w:header="720" w:footer="720" w:gutter="0"/>
          <w:pgNumType w:start="1"/>
          <w:cols w:sep="0" w:space="720"/>
          <w:docGrid w:linePitch="1"/>
        </w:sectPr>
      </w:pPr>
      <w:r>
        <w:rPr>
          <w:noProof/>
        </w:rPr>
        <w:pict>
          <v:shape id="_x0000_s1036" type="#_x0000_t75" style="width:445.6pt;height:2.7pt;margin-top:53.3pt;margin-left:87.45pt;mso-position-horizontal-relative:page;mso-position-vertical-relative:page;position:absolute;z-index:-251649024">
            <v:imagedata r:id="rId15" o:title=""/>
          </v:shape>
        </w:pict>
      </w:r>
      <w:r>
        <w:rPr>
          <w:noProof/>
        </w:rPr>
        <w:pict>
          <v:shape id="_x0000_s1037" type="#_x0000_t75" style="width:492.05pt;height:308.05pt;margin-top:74.3pt;margin-left:46.05pt;mso-position-horizontal-relative:page;mso-position-vertical-relative:page;position:absolute;z-index:-251654144">
            <v:imagedata r:id="rId16" o:title=""/>
          </v:shape>
        </w:pict>
      </w:r>
    </w:p>
    <w:p>
      <w:pPr>
        <w:spacing w:line="0" w:lineRule="atLeast"/>
        <w:rPr>
          <w:rFonts w:ascii="Arial" w:eastAsiaTheme="minorEastAsia" w:hAnsiTheme="minorHAnsi" w:cstheme="minorBidi"/>
          <w:color w:val="FF0000"/>
          <w:sz w:val="2"/>
          <w:szCs w:val="22"/>
          <w:lang w:val="en-US" w:eastAsia="en-US" w:bidi="ar-SA"/>
        </w:rPr>
      </w:pPr>
      <w:bookmarkStart w:id="5" w:name="br1_4"/>
      <w:bookmarkEnd w:id="5"/>
      <w:r>
        <w:rPr>
          <w:rFonts w:ascii="Arial" w:eastAsiaTheme="minorEastAsia" w:hAnsiTheme="minorHAnsi" w:cstheme="minorBidi"/>
          <w:color w:val="FF0000"/>
          <w:sz w:val="2"/>
          <w:szCs w:val="22"/>
          <w:lang w:val="en-US" w:eastAsia="en-US" w:bidi="ar-SA"/>
        </w:rPr>
        <w:t xml:space="preserve"> </w:t>
      </w:r>
    </w:p>
    <w:p>
      <w:pPr>
        <w:framePr w:w="1934" w:x="5355" w:y="859"/>
        <w:widowControl w:val="0"/>
        <w:autoSpaceDE w:val="0"/>
        <w:autoSpaceDN w:val="0"/>
        <w:spacing w:line="180" w:lineRule="exact"/>
        <w:rPr>
          <w:rFonts w:eastAsiaTheme="minorEastAsia" w:hAnsiTheme="minorHAnsi" w:cstheme="minorBidi"/>
          <w:color w:val="000000"/>
          <w:sz w:val="18"/>
          <w:szCs w:val="22"/>
          <w:lang w:val="en-US" w:eastAsia="en-US" w:bidi="ar-SA"/>
        </w:rPr>
      </w:pPr>
      <w:r>
        <w:rPr>
          <w:rFonts w:ascii="SimSun" w:eastAsiaTheme="minorEastAsia" w:hAnsiTheme="minorHAnsi" w:cstheme="minorBidi"/>
          <w:color w:val="000000"/>
          <w:spacing w:val="3"/>
          <w:sz w:val="18"/>
          <w:szCs w:val="22"/>
          <w:lang w:val="en-US" w:eastAsia="en-US" w:bidi="ar-SA"/>
        </w:rPr>
        <w:t>2021</w:t>
      </w:r>
      <w:r>
        <w:rPr>
          <w:rFonts w:ascii="SimSun" w:hAnsi="SimSun" w:eastAsiaTheme="minorEastAsia" w:cs="SimSun"/>
          <w:color w:val="000000"/>
          <w:spacing w:val="2"/>
          <w:sz w:val="18"/>
          <w:szCs w:val="22"/>
          <w:lang w:val="en-US" w:eastAsia="en-US" w:bidi="ar-SA"/>
        </w:rPr>
        <w:t>年第一季度报告</w:t>
      </w:r>
    </w:p>
    <w:p>
      <w:pPr>
        <w:framePr w:w="3236" w:x="1798" w:y="1557"/>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注</w:t>
      </w:r>
      <w:r>
        <w:rPr>
          <w:rFonts w:eastAsiaTheme="minorEastAsia" w:hAnsiTheme="minorHAnsi" w:cstheme="minorBidi"/>
          <w:color w:val="000000"/>
          <w:spacing w:val="1"/>
          <w:sz w:val="21"/>
          <w:szCs w:val="22"/>
          <w:lang w:val="en-US" w:eastAsia="en-US" w:bidi="ar-SA"/>
        </w:rPr>
        <w:t xml:space="preserve"> </w:t>
      </w:r>
      <w:r>
        <w:rPr>
          <w:rFonts w:ascii="SimSun" w:eastAsiaTheme="minorEastAsia" w:hAnsiTheme="minorHAnsi" w:cstheme="minorBidi"/>
          <w:color w:val="000000"/>
          <w:spacing w:val="-1"/>
          <w:sz w:val="21"/>
          <w:szCs w:val="22"/>
          <w:lang w:val="en-US" w:eastAsia="en-US" w:bidi="ar-SA"/>
        </w:rPr>
        <w:t>17</w:t>
      </w:r>
      <w:r>
        <w:rPr>
          <w:rFonts w:ascii="SimSun" w:hAnsi="SimSun" w:eastAsiaTheme="minorEastAsia" w:cs="SimSun"/>
          <w:color w:val="000000"/>
          <w:sz w:val="21"/>
          <w:szCs w:val="22"/>
          <w:lang w:val="en-US" w:eastAsia="en-US" w:bidi="ar-SA"/>
        </w:rPr>
        <w:t>：主要系房产税增加所致。</w:t>
      </w:r>
    </w:p>
    <w:p>
      <w:pPr>
        <w:framePr w:w="7647" w:x="1798" w:y="2025"/>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注</w:t>
      </w:r>
      <w:r>
        <w:rPr>
          <w:rFonts w:eastAsiaTheme="minorEastAsia" w:hAnsiTheme="minorHAnsi" w:cstheme="minorBidi"/>
          <w:color w:val="000000"/>
          <w:spacing w:val="1"/>
          <w:sz w:val="21"/>
          <w:szCs w:val="22"/>
          <w:lang w:val="en-US" w:eastAsia="en-US" w:bidi="ar-SA"/>
        </w:rPr>
        <w:t xml:space="preserve"> </w:t>
      </w:r>
      <w:r>
        <w:rPr>
          <w:rFonts w:ascii="SimSun" w:eastAsiaTheme="minorEastAsia" w:hAnsiTheme="minorHAnsi" w:cstheme="minorBidi"/>
          <w:color w:val="000000"/>
          <w:spacing w:val="-1"/>
          <w:sz w:val="21"/>
          <w:szCs w:val="22"/>
          <w:lang w:val="en-US" w:eastAsia="en-US" w:bidi="ar-SA"/>
        </w:rPr>
        <w:t>18</w:t>
      </w:r>
      <w:r>
        <w:rPr>
          <w:rFonts w:ascii="SimSun" w:hAnsi="SimSun" w:eastAsiaTheme="minorEastAsia" w:cs="SimSun"/>
          <w:color w:val="000000"/>
          <w:sz w:val="21"/>
          <w:szCs w:val="22"/>
          <w:lang w:val="en-US" w:eastAsia="en-US" w:bidi="ar-SA"/>
        </w:rPr>
        <w:t>：主要系依据新收入准则将与销售相关的运输费用调至营业成本核算所致。</w:t>
      </w:r>
    </w:p>
    <w:p>
      <w:pPr>
        <w:framePr w:w="7647" w:x="1798" w:y="2025"/>
        <w:widowControl w:val="0"/>
        <w:autoSpaceDE w:val="0"/>
        <w:autoSpaceDN w:val="0"/>
        <w:spacing w:before="257"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注</w:t>
      </w:r>
      <w:r>
        <w:rPr>
          <w:rFonts w:eastAsiaTheme="minorEastAsia" w:hAnsiTheme="minorHAnsi" w:cstheme="minorBidi"/>
          <w:color w:val="000000"/>
          <w:spacing w:val="1"/>
          <w:sz w:val="21"/>
          <w:szCs w:val="22"/>
          <w:lang w:val="en-US" w:eastAsia="en-US" w:bidi="ar-SA"/>
        </w:rPr>
        <w:t xml:space="preserve"> </w:t>
      </w:r>
      <w:r>
        <w:rPr>
          <w:rFonts w:ascii="SimSun" w:eastAsiaTheme="minorEastAsia" w:hAnsiTheme="minorHAnsi" w:cstheme="minorBidi"/>
          <w:color w:val="000000"/>
          <w:spacing w:val="-1"/>
          <w:sz w:val="21"/>
          <w:szCs w:val="22"/>
          <w:lang w:val="en-US" w:eastAsia="en-US" w:bidi="ar-SA"/>
        </w:rPr>
        <w:t>19</w:t>
      </w:r>
      <w:r>
        <w:rPr>
          <w:rFonts w:ascii="SimSun" w:hAnsi="SimSun" w:eastAsiaTheme="minorEastAsia" w:cs="SimSun"/>
          <w:color w:val="000000"/>
          <w:sz w:val="21"/>
          <w:szCs w:val="22"/>
          <w:lang w:val="en-US" w:eastAsia="en-US" w:bidi="ar-SA"/>
        </w:rPr>
        <w:t>：主要系危废转移价格较同期降低所致。</w:t>
      </w:r>
    </w:p>
    <w:p>
      <w:pPr>
        <w:framePr w:w="4705" w:x="1798" w:y="2961"/>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注</w:t>
      </w:r>
      <w:r>
        <w:rPr>
          <w:rFonts w:eastAsiaTheme="minorEastAsia" w:hAnsiTheme="minorHAnsi" w:cstheme="minorBidi"/>
          <w:color w:val="000000"/>
          <w:spacing w:val="1"/>
          <w:sz w:val="21"/>
          <w:szCs w:val="22"/>
          <w:lang w:val="en-US" w:eastAsia="en-US" w:bidi="ar-SA"/>
        </w:rPr>
        <w:t xml:space="preserve"> </w:t>
      </w:r>
      <w:r>
        <w:rPr>
          <w:rFonts w:ascii="SimSun" w:eastAsiaTheme="minorEastAsia" w:hAnsiTheme="minorHAnsi" w:cstheme="minorBidi"/>
          <w:color w:val="000000"/>
          <w:spacing w:val="-1"/>
          <w:sz w:val="21"/>
          <w:szCs w:val="22"/>
          <w:lang w:val="en-US" w:eastAsia="en-US" w:bidi="ar-SA"/>
        </w:rPr>
        <w:t>20</w:t>
      </w:r>
      <w:r>
        <w:rPr>
          <w:rFonts w:ascii="SimSun" w:hAnsi="SimSun" w:eastAsiaTheme="minorEastAsia" w:cs="SimSun"/>
          <w:color w:val="000000"/>
          <w:sz w:val="21"/>
          <w:szCs w:val="22"/>
          <w:lang w:val="en-US" w:eastAsia="en-US" w:bidi="ar-SA"/>
        </w:rPr>
        <w:t>：主要系汇率变动导致汇兑收益增加所致。</w:t>
      </w:r>
    </w:p>
    <w:p>
      <w:pPr>
        <w:framePr w:w="4496" w:x="1798" w:y="3429"/>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注</w:t>
      </w:r>
      <w:r>
        <w:rPr>
          <w:rFonts w:eastAsiaTheme="minorEastAsia" w:hAnsiTheme="minorHAnsi" w:cstheme="minorBidi"/>
          <w:color w:val="000000"/>
          <w:spacing w:val="1"/>
          <w:sz w:val="21"/>
          <w:szCs w:val="22"/>
          <w:lang w:val="en-US" w:eastAsia="en-US" w:bidi="ar-SA"/>
        </w:rPr>
        <w:t xml:space="preserve"> </w:t>
      </w:r>
      <w:r>
        <w:rPr>
          <w:rFonts w:ascii="SimSun" w:eastAsiaTheme="minorEastAsia" w:hAnsiTheme="minorHAnsi" w:cstheme="minorBidi"/>
          <w:color w:val="000000"/>
          <w:spacing w:val="-1"/>
          <w:sz w:val="21"/>
          <w:szCs w:val="22"/>
          <w:lang w:val="en-US" w:eastAsia="en-US" w:bidi="ar-SA"/>
        </w:rPr>
        <w:t>21</w:t>
      </w:r>
      <w:r>
        <w:rPr>
          <w:rFonts w:ascii="SimSun" w:hAnsi="SimSun" w:eastAsiaTheme="minorEastAsia" w:cs="SimSun"/>
          <w:color w:val="000000"/>
          <w:sz w:val="21"/>
          <w:szCs w:val="22"/>
          <w:lang w:val="en-US" w:eastAsia="en-US" w:bidi="ar-SA"/>
        </w:rPr>
        <w:t>：主要系本期收到的政府补助减少所致。</w:t>
      </w:r>
    </w:p>
    <w:p>
      <w:pPr>
        <w:framePr w:w="5125" w:x="1798" w:y="3897"/>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注</w:t>
      </w:r>
      <w:r>
        <w:rPr>
          <w:rFonts w:eastAsiaTheme="minorEastAsia" w:hAnsiTheme="minorHAnsi" w:cstheme="minorBidi"/>
          <w:color w:val="000000"/>
          <w:spacing w:val="1"/>
          <w:sz w:val="21"/>
          <w:szCs w:val="22"/>
          <w:lang w:val="en-US" w:eastAsia="en-US" w:bidi="ar-SA"/>
        </w:rPr>
        <w:t xml:space="preserve"> </w:t>
      </w:r>
      <w:r>
        <w:rPr>
          <w:rFonts w:ascii="SimSun" w:eastAsiaTheme="minorEastAsia" w:hAnsiTheme="minorHAnsi" w:cstheme="minorBidi"/>
          <w:color w:val="000000"/>
          <w:spacing w:val="-1"/>
          <w:sz w:val="21"/>
          <w:szCs w:val="22"/>
          <w:lang w:val="en-US" w:eastAsia="en-US" w:bidi="ar-SA"/>
        </w:rPr>
        <w:t>22</w:t>
      </w:r>
      <w:r>
        <w:rPr>
          <w:rFonts w:ascii="SimSun" w:hAnsi="SimSun" w:eastAsiaTheme="minorEastAsia" w:cs="SimSun"/>
          <w:color w:val="000000"/>
          <w:sz w:val="21"/>
          <w:szCs w:val="22"/>
          <w:lang w:val="en-US" w:eastAsia="en-US" w:bidi="ar-SA"/>
        </w:rPr>
        <w:t>：主要系到期的远期结售汇合约收益变动所致。</w:t>
      </w:r>
    </w:p>
    <w:p>
      <w:pPr>
        <w:framePr w:w="8749" w:x="1798" w:y="4365"/>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注</w:t>
      </w:r>
      <w:r>
        <w:rPr>
          <w:rFonts w:eastAsiaTheme="minorEastAsia" w:hAnsiTheme="minorHAnsi" w:cstheme="minorBidi"/>
          <w:color w:val="000000"/>
          <w:spacing w:val="1"/>
          <w:sz w:val="21"/>
          <w:szCs w:val="22"/>
          <w:lang w:val="en-US" w:eastAsia="en-US" w:bidi="ar-SA"/>
        </w:rPr>
        <w:t xml:space="preserve"> </w:t>
      </w:r>
      <w:r>
        <w:rPr>
          <w:rFonts w:ascii="SimSun" w:eastAsiaTheme="minorEastAsia" w:hAnsiTheme="minorHAnsi" w:cstheme="minorBidi"/>
          <w:color w:val="000000"/>
          <w:spacing w:val="-1"/>
          <w:sz w:val="21"/>
          <w:szCs w:val="22"/>
          <w:lang w:val="en-US" w:eastAsia="en-US" w:bidi="ar-SA"/>
        </w:rPr>
        <w:t>23</w:t>
      </w:r>
      <w:r>
        <w:rPr>
          <w:rFonts w:ascii="SimSun" w:hAnsi="SimSun" w:eastAsiaTheme="minorEastAsia" w:cs="SimSun"/>
          <w:color w:val="000000"/>
          <w:sz w:val="21"/>
          <w:szCs w:val="22"/>
          <w:lang w:val="en-US" w:eastAsia="en-US" w:bidi="ar-SA"/>
        </w:rPr>
        <w:t>：主要系未到期远期结售汇合约公允价值变动所致。</w:t>
      </w:r>
    </w:p>
    <w:p>
      <w:pPr>
        <w:framePr w:w="8749" w:x="1798" w:y="4365"/>
        <w:widowControl w:val="0"/>
        <w:autoSpaceDE w:val="0"/>
        <w:autoSpaceDN w:val="0"/>
        <w:spacing w:before="257"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注</w:t>
      </w:r>
      <w:r>
        <w:rPr>
          <w:rFonts w:eastAsiaTheme="minorEastAsia" w:hAnsiTheme="minorHAnsi" w:cstheme="minorBidi"/>
          <w:color w:val="000000"/>
          <w:spacing w:val="1"/>
          <w:sz w:val="21"/>
          <w:szCs w:val="22"/>
          <w:lang w:val="en-US" w:eastAsia="en-US" w:bidi="ar-SA"/>
        </w:rPr>
        <w:t xml:space="preserve"> </w:t>
      </w:r>
      <w:r>
        <w:rPr>
          <w:rFonts w:ascii="SimSun" w:eastAsiaTheme="minorEastAsia" w:hAnsiTheme="minorHAnsi" w:cstheme="minorBidi"/>
          <w:color w:val="000000"/>
          <w:spacing w:val="-1"/>
          <w:sz w:val="21"/>
          <w:szCs w:val="22"/>
          <w:lang w:val="en-US" w:eastAsia="en-US" w:bidi="ar-SA"/>
        </w:rPr>
        <w:t>24</w:t>
      </w:r>
      <w:r>
        <w:rPr>
          <w:rFonts w:ascii="SimSun" w:hAnsi="SimSun" w:eastAsiaTheme="minorEastAsia" w:cs="SimSun"/>
          <w:color w:val="000000"/>
          <w:sz w:val="21"/>
          <w:szCs w:val="22"/>
          <w:lang w:val="en-US" w:eastAsia="en-US" w:bidi="ar-SA"/>
        </w:rPr>
        <w:t>：主要系公司核心产品烯草酮销售价格较同期下降</w:t>
      </w:r>
      <w:r>
        <w:rPr>
          <w:rFonts w:eastAsiaTheme="minorEastAsia" w:hAnsiTheme="minorHAnsi" w:cstheme="minorBidi"/>
          <w:color w:val="000000"/>
          <w:spacing w:val="2"/>
          <w:sz w:val="21"/>
          <w:szCs w:val="22"/>
          <w:lang w:val="en-US" w:eastAsia="en-US" w:bidi="ar-SA"/>
        </w:rPr>
        <w:t xml:space="preserve"> </w:t>
      </w:r>
      <w:r>
        <w:rPr>
          <w:rFonts w:ascii="SimSun" w:eastAsiaTheme="minorEastAsia" w:hAnsiTheme="minorHAnsi" w:cstheme="minorBidi"/>
          <w:color w:val="000000"/>
          <w:sz w:val="21"/>
          <w:szCs w:val="22"/>
          <w:lang w:val="en-US" w:eastAsia="en-US" w:bidi="ar-SA"/>
        </w:rPr>
        <w:t>22.13%</w:t>
      </w:r>
      <w:r>
        <w:rPr>
          <w:rFonts w:ascii="SimSun" w:hAnsi="SimSun" w:eastAsiaTheme="minorEastAsia" w:cs="SimSun"/>
          <w:color w:val="000000"/>
          <w:sz w:val="21"/>
          <w:szCs w:val="22"/>
          <w:lang w:val="en-US" w:eastAsia="en-US" w:bidi="ar-SA"/>
        </w:rPr>
        <w:t>；部分原材料价格上涨所致。</w:t>
      </w:r>
    </w:p>
    <w:p>
      <w:pPr>
        <w:framePr w:w="8749" w:x="1798" w:y="4365"/>
        <w:widowControl w:val="0"/>
        <w:autoSpaceDE w:val="0"/>
        <w:autoSpaceDN w:val="0"/>
        <w:spacing w:before="257"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注</w:t>
      </w:r>
      <w:r>
        <w:rPr>
          <w:rFonts w:eastAsiaTheme="minorEastAsia" w:hAnsiTheme="minorHAnsi" w:cstheme="minorBidi"/>
          <w:color w:val="000000"/>
          <w:spacing w:val="1"/>
          <w:sz w:val="21"/>
          <w:szCs w:val="22"/>
          <w:lang w:val="en-US" w:eastAsia="en-US" w:bidi="ar-SA"/>
        </w:rPr>
        <w:t xml:space="preserve"> </w:t>
      </w:r>
      <w:r>
        <w:rPr>
          <w:rFonts w:ascii="SimSun" w:eastAsiaTheme="minorEastAsia" w:hAnsiTheme="minorHAnsi" w:cstheme="minorBidi"/>
          <w:color w:val="000000"/>
          <w:spacing w:val="-1"/>
          <w:sz w:val="21"/>
          <w:szCs w:val="22"/>
          <w:lang w:val="en-US" w:eastAsia="en-US" w:bidi="ar-SA"/>
        </w:rPr>
        <w:t>25</w:t>
      </w:r>
      <w:r>
        <w:rPr>
          <w:rFonts w:ascii="SimSun" w:hAnsi="SimSun" w:eastAsiaTheme="minorEastAsia" w:cs="SimSun"/>
          <w:color w:val="000000"/>
          <w:sz w:val="21"/>
          <w:szCs w:val="22"/>
          <w:lang w:val="en-US" w:eastAsia="en-US" w:bidi="ar-SA"/>
        </w:rPr>
        <w:t>：主要系提前备货增加、本期支付</w:t>
      </w:r>
      <w:r>
        <w:rPr>
          <w:rFonts w:eastAsiaTheme="minorEastAsia" w:hAnsiTheme="minorHAnsi" w:cstheme="minorBidi"/>
          <w:color w:val="000000"/>
          <w:spacing w:val="2"/>
          <w:sz w:val="21"/>
          <w:szCs w:val="22"/>
          <w:lang w:val="en-US" w:eastAsia="en-US" w:bidi="ar-SA"/>
        </w:rPr>
        <w:t xml:space="preserve"> </w:t>
      </w:r>
      <w:r>
        <w:rPr>
          <w:rFonts w:ascii="SimSun" w:eastAsiaTheme="minorEastAsia" w:hAnsiTheme="minorHAnsi" w:cstheme="minorBidi"/>
          <w:color w:val="000000"/>
          <w:sz w:val="21"/>
          <w:szCs w:val="22"/>
          <w:lang w:val="en-US" w:eastAsia="en-US" w:bidi="ar-SA"/>
        </w:rPr>
        <w:t>2020</w:t>
      </w:r>
      <w:r>
        <w:rPr>
          <w:rFonts w:ascii="SimSun" w:hAnsi="SimSun" w:eastAsiaTheme="minorEastAsia" w:cs="SimSun"/>
          <w:color w:val="000000"/>
          <w:sz w:val="21"/>
          <w:szCs w:val="22"/>
          <w:lang w:val="en-US" w:eastAsia="en-US" w:bidi="ar-SA"/>
        </w:rPr>
        <w:t>年度绩效所致。</w:t>
      </w:r>
    </w:p>
    <w:p>
      <w:pPr>
        <w:framePr w:w="8749" w:x="1798" w:y="4365"/>
        <w:widowControl w:val="0"/>
        <w:autoSpaceDE w:val="0"/>
        <w:autoSpaceDN w:val="0"/>
        <w:spacing w:before="257" w:line="211" w:lineRule="exact"/>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3.2</w:t>
      </w:r>
      <w:r>
        <w:rPr>
          <w:rFonts w:ascii="SimSun" w:eastAsiaTheme="minorEastAsia" w:hAnsiTheme="minorHAnsi" w:cstheme="minorBidi"/>
          <w:color w:val="000000"/>
          <w:spacing w:val="125"/>
          <w:sz w:val="21"/>
          <w:szCs w:val="22"/>
          <w:lang w:val="en-US" w:eastAsia="en-US" w:bidi="ar-SA"/>
        </w:rPr>
        <w:t xml:space="preserve"> </w:t>
      </w:r>
      <w:r>
        <w:rPr>
          <w:rFonts w:ascii="SimSun" w:hAnsi="SimSun" w:eastAsiaTheme="minorEastAsia" w:cs="SimSun"/>
          <w:color w:val="000000"/>
          <w:sz w:val="21"/>
          <w:szCs w:val="22"/>
          <w:lang w:val="en-US" w:eastAsia="en-US" w:bidi="ar-SA"/>
        </w:rPr>
        <w:t>重要事项进展情况及其影响和解决方案的分析说明</w:t>
      </w:r>
    </w:p>
    <w:p>
      <w:pPr>
        <w:framePr w:w="1817" w:x="1798" w:y="6315"/>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□适用</w:t>
      </w:r>
      <w:r>
        <w:rPr>
          <w:rFonts w:eastAsiaTheme="minorEastAsia" w:hAnsiTheme="minorHAnsi" w:cstheme="minorBidi"/>
          <w:color w:val="000000"/>
          <w:spacing w:val="51"/>
          <w:sz w:val="21"/>
          <w:szCs w:val="22"/>
          <w:lang w:val="en-US" w:eastAsia="en-US" w:bidi="ar-SA"/>
        </w:rPr>
        <w:t xml:space="preserve"> </w:t>
      </w:r>
      <w:r>
        <w:rPr>
          <w:rFonts w:ascii="SimSun" w:hAnsi="SimSun" w:eastAsiaTheme="minorEastAsia" w:cs="SimSun"/>
          <w:color w:val="000000"/>
          <w:sz w:val="21"/>
          <w:szCs w:val="22"/>
          <w:lang w:val="en-US" w:eastAsia="en-US" w:bidi="ar-SA"/>
        </w:rPr>
        <w:t>√不适用</w:t>
      </w:r>
    </w:p>
    <w:p>
      <w:pPr>
        <w:framePr w:w="4152" w:x="1798" w:y="6862"/>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3.3</w:t>
      </w:r>
      <w:r>
        <w:rPr>
          <w:rFonts w:ascii="SimSun" w:eastAsiaTheme="minorEastAsia" w:hAnsiTheme="minorHAnsi" w:cstheme="minorBidi"/>
          <w:color w:val="000000"/>
          <w:spacing w:val="125"/>
          <w:sz w:val="21"/>
          <w:szCs w:val="22"/>
          <w:lang w:val="en-US" w:eastAsia="en-US" w:bidi="ar-SA"/>
        </w:rPr>
        <w:t xml:space="preserve"> </w:t>
      </w:r>
      <w:r>
        <w:rPr>
          <w:rFonts w:ascii="SimSun" w:hAnsi="SimSun" w:eastAsiaTheme="minorEastAsia" w:cs="SimSun"/>
          <w:color w:val="000000"/>
          <w:sz w:val="21"/>
          <w:szCs w:val="22"/>
          <w:lang w:val="en-US" w:eastAsia="en-US" w:bidi="ar-SA"/>
        </w:rPr>
        <w:t>报告期内超期未履行完毕的承诺事项</w:t>
      </w:r>
    </w:p>
    <w:p>
      <w:pPr>
        <w:framePr w:w="4152" w:x="1798" w:y="6862"/>
        <w:widowControl w:val="0"/>
        <w:autoSpaceDE w:val="0"/>
        <w:autoSpaceDN w:val="0"/>
        <w:spacing w:before="334"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□适用</w:t>
      </w:r>
      <w:r>
        <w:rPr>
          <w:rFonts w:eastAsiaTheme="minorEastAsia" w:hAnsiTheme="minorHAnsi" w:cstheme="minorBidi"/>
          <w:color w:val="000000"/>
          <w:spacing w:val="51"/>
          <w:sz w:val="21"/>
          <w:szCs w:val="22"/>
          <w:lang w:val="en-US" w:eastAsia="en-US" w:bidi="ar-SA"/>
        </w:rPr>
        <w:t xml:space="preserve"> </w:t>
      </w:r>
      <w:r>
        <w:rPr>
          <w:rFonts w:ascii="SimSun" w:hAnsi="SimSun" w:eastAsiaTheme="minorEastAsia" w:cs="SimSun"/>
          <w:color w:val="000000"/>
          <w:sz w:val="21"/>
          <w:szCs w:val="22"/>
          <w:lang w:val="en-US" w:eastAsia="en-US" w:bidi="ar-SA"/>
        </w:rPr>
        <w:t>√不适用</w:t>
      </w:r>
    </w:p>
    <w:p>
      <w:pPr>
        <w:framePr w:w="8985" w:x="1798" w:y="7954"/>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3.4</w:t>
      </w:r>
      <w:r>
        <w:rPr>
          <w:rFonts w:ascii="SimSun" w:eastAsiaTheme="minorEastAsia" w:hAnsiTheme="minorHAnsi" w:cstheme="minorBidi"/>
          <w:color w:val="000000"/>
          <w:spacing w:val="125"/>
          <w:sz w:val="21"/>
          <w:szCs w:val="22"/>
          <w:lang w:val="en-US" w:eastAsia="en-US" w:bidi="ar-SA"/>
        </w:rPr>
        <w:t xml:space="preserve"> </w:t>
      </w:r>
      <w:r>
        <w:rPr>
          <w:rFonts w:ascii="SimSun" w:hAnsi="SimSun" w:eastAsiaTheme="minorEastAsia" w:cs="SimSun"/>
          <w:color w:val="000000"/>
          <w:sz w:val="21"/>
          <w:szCs w:val="22"/>
          <w:lang w:val="en-US" w:eastAsia="en-US" w:bidi="ar-SA"/>
        </w:rPr>
        <w:t>预测年初至下一报告期期末的累计净利润可能为亏损或者与上年同期相比发生重大变动的</w:t>
      </w:r>
    </w:p>
    <w:p>
      <w:pPr>
        <w:framePr w:w="1718" w:x="2218" w:y="8266"/>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警示及原因说明</w:t>
      </w:r>
    </w:p>
    <w:p>
      <w:pPr>
        <w:framePr w:w="1817" w:x="1798" w:y="8811"/>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□适用</w:t>
      </w:r>
      <w:r>
        <w:rPr>
          <w:rFonts w:eastAsiaTheme="minorEastAsia" w:hAnsiTheme="minorHAnsi" w:cstheme="minorBidi"/>
          <w:color w:val="000000"/>
          <w:spacing w:val="51"/>
          <w:sz w:val="21"/>
          <w:szCs w:val="22"/>
          <w:lang w:val="en-US" w:eastAsia="en-US" w:bidi="ar-SA"/>
        </w:rPr>
        <w:t xml:space="preserve"> </w:t>
      </w:r>
      <w:r>
        <w:rPr>
          <w:rFonts w:ascii="SimSun" w:hAnsi="SimSun" w:eastAsiaTheme="minorEastAsia" w:cs="SimSun"/>
          <w:color w:val="000000"/>
          <w:sz w:val="21"/>
          <w:szCs w:val="22"/>
          <w:lang w:val="en-US" w:eastAsia="en-US" w:bidi="ar-SA"/>
        </w:rPr>
        <w:t>√不适用</w:t>
      </w:r>
    </w:p>
    <w:p>
      <w:pPr>
        <w:framePr w:w="3821" w:x="6945" w:y="9682"/>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公司名称</w:t>
      </w:r>
      <w:r>
        <w:rPr>
          <w:rFonts w:eastAsiaTheme="minorEastAsia" w:hAnsiTheme="minorHAnsi" w:cstheme="minorBidi"/>
          <w:color w:val="000000"/>
          <w:spacing w:val="164"/>
          <w:sz w:val="21"/>
          <w:szCs w:val="22"/>
          <w:lang w:val="en-US" w:eastAsia="en-US" w:bidi="ar-SA"/>
        </w:rPr>
        <w:t xml:space="preserve"> </w:t>
      </w:r>
      <w:r>
        <w:rPr>
          <w:rFonts w:ascii="SimSun" w:hAnsi="SimSun" w:eastAsiaTheme="minorEastAsia" w:cs="SimSun"/>
          <w:color w:val="000000"/>
          <w:sz w:val="21"/>
          <w:szCs w:val="22"/>
          <w:lang w:val="en-US" w:eastAsia="en-US" w:bidi="ar-SA"/>
        </w:rPr>
        <w:t>山东先达农化股份有限公司</w:t>
      </w:r>
    </w:p>
    <w:p>
      <w:pPr>
        <w:framePr w:w="1296" w:x="6733" w:y="10004"/>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法定代表人</w:t>
      </w:r>
    </w:p>
    <w:p>
      <w:pPr>
        <w:framePr w:w="1296" w:x="6733" w:y="10004"/>
        <w:widowControl w:val="0"/>
        <w:autoSpaceDE w:val="0"/>
        <w:autoSpaceDN w:val="0"/>
        <w:spacing w:before="110" w:line="211" w:lineRule="exact"/>
        <w:ind w:left="631"/>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日期</w:t>
      </w:r>
    </w:p>
    <w:p>
      <w:pPr>
        <w:framePr w:w="874" w:x="10005" w:y="10004"/>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王现全</w:t>
      </w:r>
    </w:p>
    <w:p>
      <w:pPr>
        <w:framePr w:w="1870" w:x="9009" w:y="10325"/>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2021</w:t>
      </w:r>
      <w:r>
        <w:rPr>
          <w:rFonts w:ascii="SimSun" w:hAnsi="SimSun" w:eastAsiaTheme="minorEastAsia" w:cs="SimSun"/>
          <w:color w:val="000000"/>
          <w:sz w:val="21"/>
          <w:szCs w:val="22"/>
          <w:lang w:val="en-US" w:eastAsia="en-US" w:bidi="ar-SA"/>
        </w:rPr>
        <w:t>年</w:t>
      </w:r>
      <w:r>
        <w:rPr>
          <w:rFonts w:eastAsiaTheme="minorEastAsia" w:hAnsiTheme="minorHAnsi" w:cstheme="minorBidi"/>
          <w:color w:val="000000"/>
          <w:spacing w:val="1"/>
          <w:sz w:val="21"/>
          <w:szCs w:val="22"/>
          <w:lang w:val="en-US" w:eastAsia="en-US" w:bidi="ar-SA"/>
        </w:rPr>
        <w:t xml:space="preserve"> </w:t>
      </w:r>
      <w:r>
        <w:rPr>
          <w:rFonts w:ascii="SimSun" w:eastAsiaTheme="minorEastAsia" w:hAnsiTheme="minorHAnsi" w:cstheme="minorBidi"/>
          <w:color w:val="000000"/>
          <w:spacing w:val="51"/>
          <w:sz w:val="21"/>
          <w:szCs w:val="22"/>
          <w:lang w:val="en-US" w:eastAsia="en-US" w:bidi="ar-SA"/>
        </w:rPr>
        <w:t>4</w:t>
      </w:r>
      <w:r>
        <w:rPr>
          <w:rFonts w:ascii="SimSun" w:hAnsi="SimSun" w:eastAsiaTheme="minorEastAsia" w:cs="SimSun"/>
          <w:color w:val="000000"/>
          <w:sz w:val="21"/>
          <w:szCs w:val="22"/>
          <w:lang w:val="en-US" w:eastAsia="en-US" w:bidi="ar-SA"/>
        </w:rPr>
        <w:t>月</w:t>
      </w:r>
      <w:r>
        <w:rPr>
          <w:rFonts w:eastAsiaTheme="minorEastAsia" w:hAnsiTheme="minorHAnsi" w:cstheme="minorBidi"/>
          <w:color w:val="000000"/>
          <w:spacing w:val="1"/>
          <w:sz w:val="21"/>
          <w:szCs w:val="22"/>
          <w:lang w:val="en-US" w:eastAsia="en-US" w:bidi="ar-SA"/>
        </w:rPr>
        <w:t xml:space="preserve"> </w:t>
      </w:r>
      <w:r>
        <w:rPr>
          <w:rFonts w:ascii="SimSun" w:eastAsiaTheme="minorEastAsia" w:hAnsiTheme="minorHAnsi" w:cstheme="minorBidi"/>
          <w:color w:val="000000"/>
          <w:sz w:val="21"/>
          <w:szCs w:val="22"/>
          <w:lang w:val="en-US" w:eastAsia="en-US" w:bidi="ar-SA"/>
        </w:rPr>
        <w:t>26</w:t>
      </w:r>
      <w:r>
        <w:rPr>
          <w:rFonts w:ascii="SimSun" w:hAnsi="SimSun" w:eastAsiaTheme="minorEastAsia" w:cs="SimSun"/>
          <w:color w:val="000000"/>
          <w:sz w:val="21"/>
          <w:szCs w:val="22"/>
          <w:lang w:val="en-US" w:eastAsia="en-US" w:bidi="ar-SA"/>
        </w:rPr>
        <w:t>日</w:t>
      </w:r>
    </w:p>
    <w:p>
      <w:pPr>
        <w:framePr w:w="690" w:x="5989" w:y="15388"/>
        <w:widowControl w:val="0"/>
        <w:autoSpaceDE w:val="0"/>
        <w:autoSpaceDN w:val="0"/>
        <w:spacing w:line="180" w:lineRule="exact"/>
        <w:rPr>
          <w:rFonts w:ascii="SimSun" w:eastAsiaTheme="minorEastAsia" w:hAnsiTheme="minorHAnsi" w:cstheme="minorBidi"/>
          <w:color w:val="000000"/>
          <w:sz w:val="18"/>
          <w:szCs w:val="22"/>
          <w:lang w:val="en-US" w:eastAsia="en-US" w:bidi="ar-SA"/>
        </w:rPr>
      </w:pPr>
      <w:r>
        <w:rPr>
          <w:rFonts w:ascii="SimSun" w:eastAsiaTheme="minorEastAsia" w:hAnsiTheme="minorHAnsi" w:cstheme="minorBidi"/>
          <w:color w:val="000000"/>
          <w:sz w:val="18"/>
          <w:szCs w:val="22"/>
          <w:lang w:val="en-US" w:eastAsia="en-US" w:bidi="ar-SA"/>
        </w:rPr>
        <w:t>6</w:t>
      </w:r>
      <w:r>
        <w:rPr>
          <w:rFonts w:ascii="SimSun" w:eastAsiaTheme="minorEastAsia" w:hAnsiTheme="minorHAnsi" w:cstheme="minorBidi"/>
          <w:color w:val="000000"/>
          <w:spacing w:val="2"/>
          <w:sz w:val="18"/>
          <w:szCs w:val="22"/>
          <w:lang w:val="en-US" w:eastAsia="en-US" w:bidi="ar-SA"/>
        </w:rPr>
        <w:t xml:space="preserve"> </w:t>
      </w:r>
      <w:r>
        <w:rPr>
          <w:rFonts w:ascii="SimSun" w:eastAsiaTheme="minorEastAsia" w:hAnsiTheme="minorHAnsi" w:cstheme="minorBidi"/>
          <w:color w:val="000000"/>
          <w:sz w:val="18"/>
          <w:szCs w:val="22"/>
          <w:lang w:val="en-US" w:eastAsia="en-US" w:bidi="ar-SA"/>
        </w:rPr>
        <w:t>/</w:t>
      </w:r>
      <w:r>
        <w:rPr>
          <w:rFonts w:ascii="SimSun" w:eastAsiaTheme="minorEastAsia" w:hAnsiTheme="minorHAnsi" w:cstheme="minorBidi"/>
          <w:color w:val="000000"/>
          <w:spacing w:val="-2"/>
          <w:sz w:val="18"/>
          <w:szCs w:val="22"/>
          <w:lang w:val="en-US" w:eastAsia="en-US" w:bidi="ar-SA"/>
        </w:rPr>
        <w:t xml:space="preserve"> </w:t>
      </w:r>
      <w:r>
        <w:rPr>
          <w:rFonts w:ascii="SimSun" w:eastAsiaTheme="minorEastAsia" w:hAnsiTheme="minorHAnsi" w:cstheme="minorBidi"/>
          <w:color w:val="000000"/>
          <w:sz w:val="18"/>
          <w:szCs w:val="22"/>
          <w:lang w:val="en-US" w:eastAsia="en-US" w:bidi="ar-SA"/>
        </w:rPr>
        <w:t>6</w:t>
      </w:r>
    </w:p>
    <w:p>
      <w:pPr>
        <w:spacing w:line="0" w:lineRule="atLeast"/>
        <w:rPr>
          <w:rFonts w:ascii="Arial" w:eastAsiaTheme="minorEastAsia" w:hAnsiTheme="minorHAnsi" w:cstheme="minorBidi"/>
          <w:color w:val="FF0000"/>
          <w:sz w:val="2"/>
          <w:szCs w:val="22"/>
          <w:lang w:val="en-US" w:eastAsia="en-US" w:bidi="ar-SA"/>
        </w:rPr>
      </w:pPr>
      <w:r>
        <w:rPr>
          <w:noProof/>
        </w:rPr>
        <w:pict>
          <v:shape id="_x0000_s1038" type="#_x0000_t75" style="width:445.6pt;height:2.7pt;margin-top:53.3pt;margin-left:87.45pt;mso-position-horizontal-relative:page;mso-position-vertical-relative:page;position:absolute;z-index:-251648000">
            <v:imagedata r:id="rId17" o:title=""/>
          </v:shape>
        </w:pict>
      </w:r>
      <w:r>
        <w:rPr>
          <w:noProof/>
        </w:rPr>
        <w:pict>
          <v:shape id="_x0000_s1039" type="#_x0000_t75" style="width:212.4pt;height:50.85pt;margin-top:479.95pt;margin-left:326.05pt;mso-position-horizontal-relative:page;mso-position-vertical-relative:page;position:absolute;z-index:-251653120">
            <v:imagedata r:id="rId18" o:title=""/>
          </v:shape>
        </w:pict>
      </w:r>
    </w:p>
    <w:sectPr>
      <w:pgSz w:w="11900" w:h="16820"/>
      <w:pgMar w:top="0" w:right="0" w:bottom="0" w:left="0" w:header="720" w:footer="720" w:gutter="0"/>
      <w:pgNumType w:start="1"/>
      <w:cols w:sep="0" w:space="720"/>
      <w:docGrid w:linePitch="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Calibri">
    <w:panose1 w:val="020F0502020204030204"/>
    <w:charset w:val="CC"/>
    <w:family w:val="swiss"/>
    <w:pitch w:val="variable"/>
    <w:sig w:usb0="01010101" w:usb1="01010101" w:usb2="01010101" w:usb3="01010101" w:csb0="01010105" w:csb1="01010101"/>
  </w:font>
  <w:font w:name="Cambria Math">
    <w:panose1 w:val="02040503050406030204"/>
    <w:charset w:val="CC"/>
    <w:family w:val="roman"/>
    <w:pitch w:val="variable"/>
    <w:sig w:usb0="01010101" w:usb1="01010101" w:usb2="01010101" w:usb3="01010101" w:csb0="01010105" w:csb1="01010101"/>
  </w:font>
  <w:font w:name="SimSun">
    <w:panose1 w:val="00000000000000000000"/>
    <w:charset w:val="01"/>
    <w:family w:val="auto"/>
    <w:notTrueType/>
    <w:pitch w:val="default"/>
    <w:sig w:usb0="01010101" w:usb1="01010101" w:usb2="01010101" w:usb3="01010101" w:csb0="01010101" w:csb1="01010101"/>
  </w:font>
  <w:font w:name="SimHei">
    <w:panose1 w:val="00000000000000000000"/>
    <w:charset w:val="01"/>
    <w:family w:val="auto"/>
    <w:notTrueType/>
    <w:pitch w:val="default"/>
    <w:sig w:usb0="01010101" w:usb1="01010101" w:usb2="01010101" w:usb3="01010101" w:csb0="01010101" w:csb1="01010101"/>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jpeg" /><Relationship Id="rId11" Type="http://schemas.openxmlformats.org/officeDocument/2006/relationships/image" Target="media/image8.jpeg" /><Relationship Id="rId12" Type="http://schemas.openxmlformats.org/officeDocument/2006/relationships/image" Target="media/image9.jpeg" /><Relationship Id="rId13" Type="http://schemas.openxmlformats.org/officeDocument/2006/relationships/image" Target="media/image10.jpeg" /><Relationship Id="rId14" Type="http://schemas.openxmlformats.org/officeDocument/2006/relationships/image" Target="media/image11.jpeg" /><Relationship Id="rId15" Type="http://schemas.openxmlformats.org/officeDocument/2006/relationships/image" Target="media/image12.jpeg" /><Relationship Id="rId16" Type="http://schemas.openxmlformats.org/officeDocument/2006/relationships/image" Target="media/image13.jpeg" /><Relationship Id="rId17" Type="http://schemas.openxmlformats.org/officeDocument/2006/relationships/image" Target="media/image14.jpeg" /><Relationship Id="rId18" Type="http://schemas.openxmlformats.org/officeDocument/2006/relationships/image" Target="media/image15.jpeg"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jpeg" /><Relationship Id="rId6" Type="http://schemas.openxmlformats.org/officeDocument/2006/relationships/image" Target="media/image3.jpeg" /><Relationship Id="rId7" Type="http://schemas.openxmlformats.org/officeDocument/2006/relationships/image" Target="media/image4.jpeg" /><Relationship Id="rId8" Type="http://schemas.openxmlformats.org/officeDocument/2006/relationships/image" Target="media/image5.jpeg" /><Relationship Id="rId9" Type="http://schemas.openxmlformats.org/officeDocument/2006/relationships/image" Target="media/image6.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