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4097" w:x="4023" w:y="1572"/>
        <w:widowControl w:val="0"/>
        <w:autoSpaceDE w:val="0"/>
        <w:autoSpaceDN w:val="0"/>
        <w:spacing w:line="319" w:lineRule="exact"/>
        <w:rPr>
          <w:rFonts w:hAnsi="Calibri"/>
          <w:color w:val="000000"/>
          <w:sz w:val="32"/>
          <w:szCs w:val="22"/>
          <w:lang w:val="en-US" w:eastAsia="en-US" w:bidi="ar-SA"/>
        </w:rPr>
      </w:pPr>
      <w:r>
        <w:rPr>
          <w:rFonts w:ascii="SimSun" w:hAnsi="SimSun" w:cs="SimSun"/>
          <w:color w:val="000000"/>
          <w:spacing w:val="2"/>
          <w:sz w:val="32"/>
          <w:szCs w:val="22"/>
          <w:lang w:val="en-US" w:eastAsia="en-US" w:bidi="ar-SA"/>
        </w:rPr>
        <w:t>山东先达农化股份有限公司</w:t>
      </w:r>
    </w:p>
    <w:p>
      <w:pPr>
        <w:framePr w:w="6103" w:x="3020" w:y="2196"/>
        <w:widowControl w:val="0"/>
        <w:autoSpaceDE w:val="0"/>
        <w:autoSpaceDN w:val="0"/>
        <w:spacing w:line="319" w:lineRule="exact"/>
        <w:rPr>
          <w:rFonts w:hAnsi="Calibri"/>
          <w:color w:val="000000"/>
          <w:sz w:val="32"/>
          <w:szCs w:val="22"/>
          <w:lang w:val="en-US" w:eastAsia="en-US" w:bidi="ar-SA"/>
        </w:rPr>
      </w:pPr>
      <w:r>
        <w:rPr>
          <w:rFonts w:ascii="SimSun" w:hAnsi="Calibri"/>
          <w:color w:val="000000"/>
          <w:spacing w:val="1"/>
          <w:sz w:val="32"/>
          <w:szCs w:val="22"/>
          <w:lang w:val="en-US" w:eastAsia="en-US" w:bidi="ar-SA"/>
        </w:rPr>
        <w:t>2020</w:t>
      </w:r>
      <w:r>
        <w:rPr>
          <w:rFonts w:ascii="SimSun" w:hAnsi="SimSun" w:cs="SimSun"/>
          <w:color w:val="000000"/>
          <w:spacing w:val="1"/>
          <w:sz w:val="32"/>
          <w:szCs w:val="22"/>
          <w:lang w:val="en-US" w:eastAsia="en-US" w:bidi="ar-SA"/>
        </w:rPr>
        <w:t>年度董事会审计委员会履职情况报告</w:t>
      </w:r>
    </w:p>
    <w:p>
      <w:pPr>
        <w:framePr w:w="8880" w:x="1752" w:y="2939"/>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7"/>
          <w:szCs w:val="22"/>
          <w:lang w:val="en-US" w:eastAsia="en-US" w:bidi="ar-SA"/>
        </w:rPr>
        <w:t>公司董事会审计委员会根据《上市公司治理准则》《上海证券交易所股票上市</w:t>
      </w:r>
    </w:p>
    <w:p>
      <w:pPr>
        <w:framePr w:w="8880" w:x="1752" w:y="2939"/>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4"/>
          <w:szCs w:val="22"/>
          <w:lang w:val="en-US" w:eastAsia="en-US" w:bidi="ar-SA"/>
        </w:rPr>
        <w:t>规则》《上海证券交易所上市公司董事会审计委员会运作指引》及《公司章程》、</w:t>
      </w:r>
    </w:p>
    <w:p>
      <w:pPr>
        <w:framePr w:w="8880" w:x="1752" w:y="2939"/>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《公司审计委员会工作细则》等相关制度的规定，认真、规范、有效地履行审计</w:t>
      </w:r>
    </w:p>
    <w:p>
      <w:pPr>
        <w:framePr w:w="8880" w:x="1752" w:y="2939"/>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委员会职责，现就</w:t>
      </w:r>
      <w:r>
        <w:rPr>
          <w:rFonts w:hAnsi="Calibri"/>
          <w:color w:val="000000"/>
          <w:szCs w:val="22"/>
          <w:lang w:val="en-US" w:eastAsia="en-US" w:bidi="ar-SA"/>
        </w:rPr>
        <w:t xml:space="preserve"> </w:t>
      </w:r>
      <w:r>
        <w:rPr>
          <w:rFonts w:ascii="SimSun" w:hAnsi="Calibri"/>
          <w:color w:val="000000"/>
          <w:szCs w:val="22"/>
          <w:lang w:val="en-US" w:eastAsia="en-US" w:bidi="ar-SA"/>
        </w:rPr>
        <w:t>2020</w:t>
      </w:r>
      <w:r>
        <w:rPr>
          <w:rFonts w:ascii="SimSun" w:hAnsi="SimSun" w:cs="SimSun"/>
          <w:color w:val="000000"/>
          <w:szCs w:val="22"/>
          <w:lang w:val="en-US" w:eastAsia="en-US" w:bidi="ar-SA"/>
        </w:rPr>
        <w:t>年履职情况报告如下：</w:t>
      </w:r>
    </w:p>
    <w:p>
      <w:pPr>
        <w:framePr w:w="3600" w:x="2232" w:y="4967"/>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一、董事会审计委员会基本情况</w:t>
      </w:r>
    </w:p>
    <w:p>
      <w:pPr>
        <w:framePr w:w="8644" w:x="1752" w:y="5592"/>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zCs w:val="22"/>
          <w:lang w:val="en-US" w:eastAsia="en-US" w:bidi="ar-SA"/>
        </w:rPr>
        <w:t>公司第三届董事会审计委员会由独立董事孙宗彬先生、仲涛先生和董事姚长</w:t>
      </w:r>
    </w:p>
    <w:p>
      <w:pPr>
        <w:framePr w:w="8644" w:x="1752" w:y="5592"/>
        <w:widowControl w:val="0"/>
        <w:autoSpaceDE w:val="0"/>
        <w:autoSpaceDN w:val="0"/>
        <w:spacing w:before="228" w:line="240" w:lineRule="exact"/>
        <w:rPr>
          <w:rFonts w:ascii="SimSun" w:hAnsi="Calibri"/>
          <w:color w:val="000000"/>
          <w:szCs w:val="22"/>
          <w:lang w:val="en-US" w:eastAsia="en-US" w:bidi="ar-SA"/>
        </w:rPr>
      </w:pPr>
      <w:r>
        <w:rPr>
          <w:rFonts w:ascii="SimSun" w:hAnsi="SimSun" w:cs="SimSun"/>
          <w:color w:val="000000"/>
          <w:spacing w:val="-2"/>
          <w:szCs w:val="22"/>
          <w:lang w:val="en-US" w:eastAsia="en-US" w:bidi="ar-SA"/>
        </w:rPr>
        <w:t>明先生组成，其中独立董事孙宗彬先生为审计委员会主任委员。公司于</w:t>
      </w:r>
      <w:r>
        <w:rPr>
          <w:rFonts w:hAnsi="Calibri"/>
          <w:color w:val="000000"/>
          <w:spacing w:val="3"/>
          <w:szCs w:val="22"/>
          <w:lang w:val="en-US" w:eastAsia="en-US" w:bidi="ar-SA"/>
        </w:rPr>
        <w:t xml:space="preserve"> </w:t>
      </w:r>
      <w:r>
        <w:rPr>
          <w:rFonts w:ascii="SimSun" w:hAnsi="Calibri"/>
          <w:color w:val="000000"/>
          <w:szCs w:val="22"/>
          <w:lang w:val="en-US" w:eastAsia="en-US" w:bidi="ar-SA"/>
        </w:rPr>
        <w:t>2021</w:t>
      </w:r>
      <w:r>
        <w:rPr>
          <w:rFonts w:ascii="SimSun" w:hAnsi="SimSun" w:cs="SimSun"/>
          <w:color w:val="000000"/>
          <w:szCs w:val="22"/>
          <w:lang w:val="en-US" w:eastAsia="en-US" w:bidi="ar-SA"/>
        </w:rPr>
        <w:t>年</w:t>
      </w:r>
      <w:r>
        <w:rPr>
          <w:rFonts w:hAnsi="Calibri"/>
          <w:color w:val="000000"/>
          <w:szCs w:val="22"/>
          <w:lang w:val="en-US" w:eastAsia="en-US" w:bidi="ar-SA"/>
        </w:rPr>
        <w:t xml:space="preserve"> </w:t>
      </w:r>
      <w:r>
        <w:rPr>
          <w:rFonts w:ascii="SimSun" w:hAnsi="Calibri"/>
          <w:color w:val="000000"/>
          <w:szCs w:val="22"/>
          <w:lang w:val="en-US" w:eastAsia="en-US" w:bidi="ar-SA"/>
        </w:rPr>
        <w:t>3</w:t>
      </w:r>
    </w:p>
    <w:p>
      <w:pPr>
        <w:framePr w:w="8644" w:x="1752" w:y="5592"/>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月</w:t>
      </w:r>
      <w:r>
        <w:rPr>
          <w:rFonts w:hAnsi="Calibri"/>
          <w:color w:val="000000"/>
          <w:szCs w:val="22"/>
          <w:lang w:val="en-US" w:eastAsia="en-US" w:bidi="ar-SA"/>
        </w:rPr>
        <w:t xml:space="preserve"> </w:t>
      </w:r>
      <w:r>
        <w:rPr>
          <w:rFonts w:ascii="SimSun" w:hAnsi="Calibri"/>
          <w:color w:val="000000"/>
          <w:szCs w:val="22"/>
          <w:lang w:val="en-US" w:eastAsia="en-US" w:bidi="ar-SA"/>
        </w:rPr>
        <w:t>22</w:t>
      </w:r>
      <w:r>
        <w:rPr>
          <w:rFonts w:ascii="SimSun" w:hAnsi="SimSun" w:cs="SimSun"/>
          <w:color w:val="000000"/>
          <w:spacing w:val="-4"/>
          <w:szCs w:val="22"/>
          <w:lang w:val="en-US" w:eastAsia="en-US" w:bidi="ar-SA"/>
        </w:rPr>
        <w:t>日召开第四届董事会第一次会议选举孙宗彬先生、仲涛先生、姚长明先生为</w:t>
      </w:r>
    </w:p>
    <w:p>
      <w:pPr>
        <w:framePr w:w="8644" w:x="1752" w:y="5592"/>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公司第四届董事会审计委员会委员。</w:t>
      </w:r>
    </w:p>
    <w:p>
      <w:pPr>
        <w:framePr w:w="3360" w:x="2232" w:y="7620"/>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二、审计委员会会议召开情况</w:t>
      </w:r>
    </w:p>
    <w:p>
      <w:pPr>
        <w:framePr w:w="8641" w:x="1752" w:y="8244"/>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zCs w:val="22"/>
          <w:lang w:val="en-US" w:eastAsia="en-US" w:bidi="ar-SA"/>
        </w:rPr>
        <w:t>报告期内，公司董事会审计委员会根据公司《董事会审计委员会工作细则》</w:t>
      </w:r>
    </w:p>
    <w:p>
      <w:pPr>
        <w:framePr w:w="8641" w:x="1752" w:y="8244"/>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的相关规定，积极履行职责，审计委员会共召开</w:t>
      </w:r>
      <w:r>
        <w:rPr>
          <w:rFonts w:hAnsi="Calibri"/>
          <w:color w:val="000000"/>
          <w:spacing w:val="1"/>
          <w:szCs w:val="22"/>
          <w:lang w:val="en-US" w:eastAsia="en-US" w:bidi="ar-SA"/>
        </w:rPr>
        <w:t xml:space="preserve"> </w:t>
      </w:r>
      <w:r>
        <w:rPr>
          <w:rFonts w:ascii="SimSun" w:hAnsi="Calibri"/>
          <w:color w:val="000000"/>
          <w:spacing w:val="60"/>
          <w:szCs w:val="22"/>
          <w:lang w:val="en-US" w:eastAsia="en-US" w:bidi="ar-SA"/>
        </w:rPr>
        <w:t>4</w:t>
      </w:r>
      <w:r>
        <w:rPr>
          <w:rFonts w:ascii="SimSun" w:hAnsi="SimSun" w:cs="SimSun"/>
          <w:color w:val="000000"/>
          <w:szCs w:val="22"/>
          <w:lang w:val="en-US" w:eastAsia="en-US" w:bidi="ar-SA"/>
        </w:rPr>
        <w:t>次会议，全体委员亲自参加会</w:t>
      </w:r>
    </w:p>
    <w:p>
      <w:pPr>
        <w:framePr w:w="8641" w:x="1752" w:y="8244"/>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议。分别就定期报告、续聘会计师事务所、重大关联交易、公司财务审计报告、</w:t>
      </w:r>
    </w:p>
    <w:p>
      <w:pPr>
        <w:framePr w:w="8641" w:x="1752" w:y="8244"/>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内部审计计划与总结、会计政策变更、利润分配及资本公积转增股本预案、财务</w:t>
      </w:r>
    </w:p>
    <w:p>
      <w:pPr>
        <w:framePr w:w="8641" w:x="1752" w:y="8244"/>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决算等事项进行审查与监督，重点对公司各定期报告编制工作进行监督审核，所</w:t>
      </w:r>
    </w:p>
    <w:p>
      <w:pPr>
        <w:framePr w:w="8641" w:x="1752" w:y="8244"/>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有会议审议事项均发表意见并形成决议。</w:t>
      </w:r>
    </w:p>
    <w:p>
      <w:pPr>
        <w:framePr w:w="4921" w:x="2232" w:y="11129"/>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三、审计委员会</w:t>
      </w:r>
      <w:r>
        <w:rPr>
          <w:rFonts w:hAnsi="Calibri"/>
          <w:color w:val="000000"/>
          <w:spacing w:val="1"/>
          <w:szCs w:val="22"/>
          <w:lang w:val="en-US" w:eastAsia="en-US" w:bidi="ar-SA"/>
        </w:rPr>
        <w:t xml:space="preserve"> </w:t>
      </w:r>
      <w:r>
        <w:rPr>
          <w:rFonts w:ascii="SimSun" w:hAnsi="Calibri"/>
          <w:color w:val="000000"/>
          <w:szCs w:val="22"/>
          <w:lang w:val="en-US" w:eastAsia="en-US" w:bidi="ar-SA"/>
        </w:rPr>
        <w:t>2020</w:t>
      </w:r>
      <w:r>
        <w:rPr>
          <w:rFonts w:ascii="SimSun" w:hAnsi="SimSun" w:cs="SimSun"/>
          <w:color w:val="000000"/>
          <w:szCs w:val="22"/>
          <w:lang w:val="en-US" w:eastAsia="en-US" w:bidi="ar-SA"/>
        </w:rPr>
        <w:t>年度主要工作内容情况</w:t>
      </w:r>
    </w:p>
    <w:p>
      <w:pPr>
        <w:framePr w:w="4921" w:x="2232" w:y="11129"/>
        <w:widowControl w:val="0"/>
        <w:autoSpaceDE w:val="0"/>
        <w:autoSpaceDN w:val="0"/>
        <w:spacing w:before="307" w:line="240" w:lineRule="exact"/>
        <w:rPr>
          <w:rFonts w:hAnsi="Calibri"/>
          <w:color w:val="000000"/>
          <w:szCs w:val="22"/>
          <w:lang w:val="en-US" w:eastAsia="en-US" w:bidi="ar-SA"/>
        </w:rPr>
      </w:pPr>
      <w:r>
        <w:rPr>
          <w:rFonts w:ascii="SimSun" w:hAnsi="Calibri"/>
          <w:color w:val="000000"/>
          <w:szCs w:val="22"/>
          <w:lang w:val="en-US" w:eastAsia="en-US" w:bidi="ar-SA"/>
        </w:rPr>
        <w:t>1.</w:t>
      </w:r>
      <w:r>
        <w:rPr>
          <w:rFonts w:ascii="SimSun" w:hAnsi="SimSun" w:cs="SimSun"/>
          <w:color w:val="000000"/>
          <w:szCs w:val="22"/>
          <w:lang w:val="en-US" w:eastAsia="en-US" w:bidi="ar-SA"/>
        </w:rPr>
        <w:t>监督及评估外部审计机构工作</w:t>
      </w:r>
    </w:p>
    <w:p>
      <w:pPr>
        <w:framePr w:w="8644" w:x="1752" w:y="12221"/>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zCs w:val="22"/>
          <w:lang w:val="en-US" w:eastAsia="en-US" w:bidi="ar-SA"/>
        </w:rPr>
        <w:t>报告期内，审计委员会对外部审计机构大华会计师事务所（特殊普通合伙）</w:t>
      </w:r>
    </w:p>
    <w:p>
      <w:pPr>
        <w:framePr w:w="8644" w:x="1752" w:y="12221"/>
        <w:widowControl w:val="0"/>
        <w:autoSpaceDE w:val="0"/>
        <w:autoSpaceDN w:val="0"/>
        <w:spacing w:before="229" w:line="240" w:lineRule="exact"/>
        <w:rPr>
          <w:rFonts w:ascii="SimSun" w:hAnsi="Calibri"/>
          <w:color w:val="000000"/>
          <w:szCs w:val="22"/>
          <w:lang w:val="en-US" w:eastAsia="en-US" w:bidi="ar-SA"/>
        </w:rPr>
      </w:pPr>
      <w:r>
        <w:rPr>
          <w:rFonts w:ascii="SimSun" w:hAnsi="SimSun" w:cs="SimSun"/>
          <w:color w:val="000000"/>
          <w:spacing w:val="-2"/>
          <w:szCs w:val="22"/>
          <w:lang w:val="en-US" w:eastAsia="en-US" w:bidi="ar-SA"/>
        </w:rPr>
        <w:t>（以下简称“大华会计师事务所”）的独立性和专业性进行了评估，并对其</w:t>
      </w:r>
      <w:r>
        <w:rPr>
          <w:rFonts w:hAnsi="Calibri"/>
          <w:color w:val="000000"/>
          <w:spacing w:val="3"/>
          <w:szCs w:val="22"/>
          <w:lang w:val="en-US" w:eastAsia="en-US" w:bidi="ar-SA"/>
        </w:rPr>
        <w:t xml:space="preserve"> </w:t>
      </w:r>
      <w:r>
        <w:rPr>
          <w:rFonts w:ascii="SimSun" w:hAnsi="Calibri"/>
          <w:color w:val="000000"/>
          <w:szCs w:val="22"/>
          <w:lang w:val="en-US" w:eastAsia="en-US" w:bidi="ar-SA"/>
        </w:rPr>
        <w:t>2019</w:t>
      </w:r>
    </w:p>
    <w:p>
      <w:pPr>
        <w:framePr w:w="8644" w:x="1752" w:y="12221"/>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年度财务报告审计工作进行了监督评价，认为大华会计师事务所作为公司上市后</w:t>
      </w:r>
    </w:p>
    <w:p>
      <w:pPr>
        <w:framePr w:w="8644" w:x="1752" w:y="12221"/>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一直聘用的外部审计机构，能够按时完成公司财务报告和内部控制审计工作，较</w:t>
      </w:r>
    </w:p>
    <w:p>
      <w:pPr>
        <w:framePr w:w="8644" w:x="1752" w:y="12221"/>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好地完成了公司委托的各项工作。</w:t>
      </w:r>
    </w:p>
    <w:p>
      <w:pPr>
        <w:framePr w:w="8160" w:x="2232" w:y="14640"/>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年报审计期间，审计委员会与大华会计师事务所就审计范围、审计计划、审</w:t>
      </w:r>
    </w:p>
    <w:p>
      <w:pPr>
        <w:spacing w:line="0" w:lineRule="atLeast"/>
        <w:rPr>
          <w:rFonts w:ascii="Arial" w:hAnsi="Calibri"/>
          <w:color w:val="FF0000"/>
          <w:sz w:val="2"/>
          <w:szCs w:val="22"/>
          <w:lang w:val="en-US" w:eastAsia="en-US" w:bidi="ar-SA"/>
        </w:rPr>
      </w:pP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8640" w:x="1752"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计进度等事项进行了充分的沟通与交流，未发现在审计中存在其他的重大事项。</w:t>
      </w:r>
    </w:p>
    <w:p>
      <w:pPr>
        <w:framePr w:w="6960" w:x="2232" w:y="20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w:t>
      </w:r>
      <w:r>
        <w:rPr>
          <w:rFonts w:ascii="SimSun" w:hAnsi="SimSun" w:eastAsiaTheme="minorEastAsia" w:cs="SimSun"/>
          <w:color w:val="000000"/>
          <w:szCs w:val="22"/>
          <w:lang w:val="en-US" w:eastAsia="en-US" w:bidi="ar-SA"/>
        </w:rPr>
        <w:t>协调管理层、外部审计机构、内部审计部门及相关部门的沟通</w:t>
      </w:r>
    </w:p>
    <w:p>
      <w:pPr>
        <w:framePr w:w="8642" w:x="1752" w:y="262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报告期内，审计委员会积极协调管理层、内部审计部门及相关部门人员与大</w:t>
      </w:r>
    </w:p>
    <w:p>
      <w:pPr>
        <w:framePr w:w="8642" w:x="1752"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华会计师事务所进行充分有效的沟通和分工，有序推进并完成了</w:t>
      </w:r>
      <w:r>
        <w:rPr>
          <w:rFonts w:eastAsiaTheme="minorEastAsia" w:hAnsiTheme="minorHAnsi" w:cstheme="minorBidi"/>
          <w:color w:val="000000"/>
          <w:spacing w:val="5"/>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年年度报告</w:t>
      </w:r>
    </w:p>
    <w:p>
      <w:pPr>
        <w:framePr w:w="8642" w:x="1752"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审计工作。</w:t>
      </w:r>
    </w:p>
    <w:p>
      <w:pPr>
        <w:framePr w:w="3240" w:x="2232" w:y="41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zCs w:val="22"/>
          <w:lang w:val="en-US" w:eastAsia="en-US" w:bidi="ar-SA"/>
        </w:rPr>
        <w:t>、指导并督促内部审计工作</w:t>
      </w:r>
    </w:p>
    <w:p>
      <w:pPr>
        <w:framePr w:w="8880" w:x="1752" w:y="465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报告期内，审计委员会认真审阅了公司的年度内部审计工作计划，并督促公</w:t>
      </w:r>
    </w:p>
    <w:p>
      <w:pPr>
        <w:framePr w:w="8880" w:x="1752" w:y="4655"/>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司内部审计部门严格按照审计工作计划开展内部审计工作，并对内部审计工作提</w:t>
      </w:r>
    </w:p>
    <w:p>
      <w:pPr>
        <w:framePr w:w="8880" w:x="1752" w:y="465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7"/>
          <w:szCs w:val="22"/>
          <w:lang w:val="en-US" w:eastAsia="en-US" w:bidi="ar-SA"/>
        </w:rPr>
        <w:t>出了指导性意见，促进内部审计部门的有效运作。经审阅公司内部审计工作报告，</w:t>
      </w:r>
    </w:p>
    <w:p>
      <w:pPr>
        <w:framePr w:w="8880" w:x="1752" w:y="465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未发现内部审计工作存在重大问题。</w:t>
      </w:r>
    </w:p>
    <w:p>
      <w:pPr>
        <w:framePr w:w="2640" w:x="2232" w:y="66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w:t>
      </w:r>
      <w:r>
        <w:rPr>
          <w:rFonts w:ascii="SimSun" w:hAnsi="SimSun" w:eastAsiaTheme="minorEastAsia" w:cs="SimSun"/>
          <w:color w:val="000000"/>
          <w:szCs w:val="22"/>
          <w:lang w:val="en-US" w:eastAsia="en-US" w:bidi="ar-SA"/>
        </w:rPr>
        <w:t>审阅公司的财务报告</w:t>
      </w:r>
    </w:p>
    <w:p>
      <w:pPr>
        <w:framePr w:w="8641" w:x="1752" w:y="715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报告期内，审计委员会认真审议了公司定期财务报告，认为公司财务报告真</w:t>
      </w:r>
    </w:p>
    <w:p>
      <w:pPr>
        <w:framePr w:w="8641" w:x="1752"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实、准确、完整，不存在虚假记载、误导性陈述和重大遗漏的情形，能够客观、</w:t>
      </w:r>
    </w:p>
    <w:p>
      <w:pPr>
        <w:framePr w:w="8641" w:x="1752"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公允地反映公司的财务状况、经营成果和现金流量，公司不存在重大会计差错调</w:t>
      </w:r>
    </w:p>
    <w:p>
      <w:pPr>
        <w:framePr w:w="8641" w:x="1752"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整、重大会计政策变更、估计变更、涉及重要会计判断及导致非标准无保留意见</w:t>
      </w:r>
    </w:p>
    <w:p>
      <w:pPr>
        <w:framePr w:w="8641" w:x="1752"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审计报告的事项。</w:t>
      </w:r>
    </w:p>
    <w:p>
      <w:pPr>
        <w:framePr w:w="2880" w:x="2232" w:y="956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zCs w:val="22"/>
          <w:lang w:val="en-US" w:eastAsia="en-US" w:bidi="ar-SA"/>
        </w:rPr>
        <w:t>评估内部控制的有效性</w:t>
      </w:r>
    </w:p>
    <w:p>
      <w:pPr>
        <w:framePr w:w="8880" w:x="1752" w:y="1011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报告期内，审计委员会审阅了公司内部审计工作报告，认为公司已建立起较</w:t>
      </w:r>
    </w:p>
    <w:p>
      <w:pPr>
        <w:framePr w:w="8880" w:x="1752" w:y="101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为完善的治理结构和内部控制体系，并严格按照内部控制制度开展内部监督及风</w:t>
      </w:r>
    </w:p>
    <w:p>
      <w:pPr>
        <w:framePr w:w="8880" w:x="1752" w:y="101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险评估，促进了公司各项业务规范运作，切实保障了公司和股东的合法权益。公</w:t>
      </w:r>
    </w:p>
    <w:p>
      <w:pPr>
        <w:framePr w:w="8880" w:x="1752" w:y="101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司的内部控制实际运作情况符合中国证监会发布的有关上市公司治理规范的要求。</w:t>
      </w:r>
    </w:p>
    <w:p>
      <w:pPr>
        <w:framePr w:w="2520" w:x="2232" w:y="1206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w:t>
      </w:r>
      <w:r>
        <w:rPr>
          <w:rFonts w:ascii="SimSun" w:hAnsi="SimSun" w:eastAsiaTheme="minorEastAsia" w:cs="SimSun"/>
          <w:color w:val="000000"/>
          <w:szCs w:val="22"/>
          <w:lang w:val="en-US" w:eastAsia="en-US" w:bidi="ar-SA"/>
        </w:rPr>
        <w:t>、审查关联交易事项</w:t>
      </w:r>
    </w:p>
    <w:p>
      <w:pPr>
        <w:framePr w:w="8640" w:x="1752" w:y="1261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报告期内，为防止公司控股股东等相关关联方通过关联交易进行利益输送，</w:t>
      </w:r>
    </w:p>
    <w:p>
      <w:pPr>
        <w:framePr w:w="8640" w:x="1752" w:y="1261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损害公司及股东利益，审计委员会根据相关规定重点关注公司关联交易情况。经</w:t>
      </w:r>
    </w:p>
    <w:p>
      <w:pPr>
        <w:framePr w:w="8640" w:x="1752" w:y="1261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审查，</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年度公司不存在关联交易情况。</w:t>
      </w:r>
    </w:p>
    <w:p>
      <w:pPr>
        <w:framePr w:w="8641" w:x="1752" w:y="1417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7"/>
          <w:szCs w:val="22"/>
          <w:lang w:val="en-US" w:eastAsia="en-US" w:bidi="ar-SA"/>
        </w:rPr>
        <w:t>报告期内，审计委员会严格按照相关法律法规的规定，勤勉尽责、恪尽职守，</w:t>
      </w:r>
    </w:p>
    <w:p>
      <w:pPr>
        <w:framePr w:w="8641" w:x="1752" w:y="1417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较好地履行了各项职责，为董事会的规范高效运行提供了有力保障。</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8643" w:x="1752"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pacing w:val="60"/>
          <w:szCs w:val="22"/>
          <w:lang w:val="en-US" w:eastAsia="en-US" w:bidi="ar-SA"/>
        </w:rPr>
        <w:t>3</w:t>
      </w:r>
      <w:r>
        <w:rPr>
          <w:rFonts w:ascii="SimSun" w:hAnsi="SimSun" w:eastAsiaTheme="minorEastAsia" w:cs="SimSun"/>
          <w:color w:val="000000"/>
          <w:spacing w:val="-2"/>
          <w:szCs w:val="22"/>
          <w:lang w:val="en-US" w:eastAsia="en-US" w:bidi="ar-SA"/>
        </w:rPr>
        <w:t>月，审计委员会完成换届选举工作，第四届董事会审计委员会将继</w:t>
      </w:r>
    </w:p>
    <w:p>
      <w:pPr>
        <w:framePr w:w="8643" w:x="175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续秉承审慎、客观、独立的原则，认真、勤勉、忠实地履行职责，进一步加强同</w:t>
      </w:r>
    </w:p>
    <w:p>
      <w:pPr>
        <w:framePr w:w="8643" w:x="175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公司管理层、内外部审计机构的沟通，发挥专长作用，科学、有效地履行审计委</w:t>
      </w:r>
    </w:p>
    <w:p>
      <w:pPr>
        <w:framePr w:w="8643" w:x="175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员会的职责和义务，促进公司规范运作、稳健经营、持续发展。</w:t>
      </w:r>
    </w:p>
    <w:p>
      <w:pPr>
        <w:framePr w:w="3120" w:x="7273" w:y="356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山东先达农化股份有限公司</w:t>
      </w:r>
    </w:p>
    <w:p>
      <w:pPr>
        <w:framePr w:w="3120" w:x="7273" w:y="3563"/>
        <w:widowControl w:val="0"/>
        <w:autoSpaceDE w:val="0"/>
        <w:autoSpaceDN w:val="0"/>
        <w:spacing w:before="305"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董事会审计委员会</w:t>
      </w:r>
    </w:p>
    <w:p>
      <w:pPr>
        <w:framePr w:w="2101" w:x="7753" w:y="46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pacing w:val="60"/>
          <w:szCs w:val="22"/>
          <w:lang w:val="en-US" w:eastAsia="en-US" w:bidi="ar-SA"/>
        </w:rPr>
        <w:t>4</w:t>
      </w:r>
      <w:r>
        <w:rPr>
          <w:rFonts w:ascii="SimSun" w:hAnsi="SimSun" w:eastAsiaTheme="minorEastAsia" w:cs="SimSun"/>
          <w:color w:val="000000"/>
          <w:szCs w:val="22"/>
          <w:lang w:val="en-US" w:eastAsia="en-US" w:bidi="ar-SA"/>
        </w:rPr>
        <w:t>月</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26</w:t>
      </w:r>
      <w:r>
        <w:rPr>
          <w:rFonts w:ascii="SimSun" w:hAnsi="SimSun" w:eastAsiaTheme="minorEastAsia" w:cs="SimSun"/>
          <w:color w:val="000000"/>
          <w:szCs w:val="22"/>
          <w:lang w:val="en-US" w:eastAsia="en-US" w:bidi="ar-SA"/>
        </w:rPr>
        <w:t>日</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pP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