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34F" w:rsidRDefault="00751F51">
      <w:pPr>
        <w:spacing w:afterLines="50" w:after="156" w:line="360" w:lineRule="auto"/>
        <w:rPr>
          <w:rFonts w:ascii="Times New Roman" w:hAnsi="Times New Roman" w:cs="Times New Roman"/>
          <w:b/>
          <w:color w:val="000000"/>
          <w:kern w:val="0"/>
          <w:sz w:val="24"/>
          <w:szCs w:val="24"/>
        </w:rPr>
      </w:pPr>
      <w:r>
        <w:rPr>
          <w:rFonts w:ascii="Times New Roman" w:hAnsiTheme="minorEastAsia" w:cs="Times New Roman"/>
          <w:b/>
          <w:color w:val="000000"/>
          <w:kern w:val="0"/>
          <w:sz w:val="24"/>
          <w:szCs w:val="24"/>
        </w:rPr>
        <w:t>证券代码：</w:t>
      </w:r>
      <w:r>
        <w:rPr>
          <w:rFonts w:ascii="Times New Roman" w:hAnsi="Times New Roman" w:cs="Times New Roman"/>
          <w:b/>
          <w:color w:val="000000"/>
          <w:kern w:val="0"/>
          <w:sz w:val="24"/>
          <w:szCs w:val="24"/>
        </w:rPr>
        <w:t xml:space="preserve">603086          </w:t>
      </w:r>
      <w:r>
        <w:rPr>
          <w:rFonts w:ascii="Times New Roman" w:hAnsiTheme="minorEastAsia" w:cs="Times New Roman"/>
          <w:b/>
          <w:color w:val="000000"/>
          <w:kern w:val="0"/>
          <w:sz w:val="24"/>
          <w:szCs w:val="24"/>
        </w:rPr>
        <w:t>证券简称：先达股份</w:t>
      </w:r>
      <w:r>
        <w:rPr>
          <w:rFonts w:ascii="Times New Roman" w:hAnsi="Times New Roman" w:cs="Times New Roman"/>
          <w:b/>
          <w:color w:val="000000"/>
          <w:kern w:val="0"/>
          <w:sz w:val="24"/>
          <w:szCs w:val="24"/>
        </w:rPr>
        <w:t xml:space="preserve">       </w:t>
      </w:r>
      <w:r>
        <w:rPr>
          <w:rFonts w:ascii="Times New Roman" w:hAnsiTheme="minorEastAsia" w:cs="Times New Roman"/>
          <w:b/>
          <w:color w:val="000000"/>
          <w:kern w:val="0"/>
          <w:sz w:val="24"/>
          <w:szCs w:val="24"/>
        </w:rPr>
        <w:t>公告编号：</w:t>
      </w:r>
      <w:r w:rsidR="00FB66F2" w:rsidRPr="00CA33B6">
        <w:rPr>
          <w:rFonts w:ascii="Times New Roman" w:hAnsi="Times New Roman" w:cs="Times New Roman"/>
          <w:b/>
          <w:color w:val="000000"/>
          <w:kern w:val="0"/>
          <w:sz w:val="24"/>
          <w:szCs w:val="24"/>
        </w:rPr>
        <w:t>20</w:t>
      </w:r>
      <w:r w:rsidR="00FB66F2">
        <w:rPr>
          <w:rFonts w:ascii="Times New Roman" w:hAnsi="Times New Roman" w:cs="Times New Roman" w:hint="eastAsia"/>
          <w:b/>
          <w:color w:val="000000"/>
          <w:kern w:val="0"/>
          <w:sz w:val="24"/>
          <w:szCs w:val="24"/>
        </w:rPr>
        <w:t>20</w:t>
      </w:r>
      <w:r w:rsidR="00FB66F2" w:rsidRPr="002C4326">
        <w:rPr>
          <w:rFonts w:ascii="Times New Roman" w:hAnsi="Times New Roman" w:cs="Times New Roman" w:hint="eastAsia"/>
          <w:b/>
          <w:color w:val="000000"/>
          <w:kern w:val="0"/>
          <w:sz w:val="24"/>
          <w:szCs w:val="24"/>
        </w:rPr>
        <w:t>-0</w:t>
      </w:r>
      <w:r w:rsidR="00B36C4A" w:rsidRPr="002C4326">
        <w:rPr>
          <w:rFonts w:ascii="Times New Roman" w:hAnsi="Times New Roman" w:cs="Times New Roman" w:hint="eastAsia"/>
          <w:b/>
          <w:color w:val="000000"/>
          <w:kern w:val="0"/>
          <w:sz w:val="24"/>
          <w:szCs w:val="24"/>
        </w:rPr>
        <w:t>52</w:t>
      </w:r>
    </w:p>
    <w:p w:rsidR="005F334F" w:rsidRDefault="00751F51">
      <w:pPr>
        <w:spacing w:beforeLines="50" w:before="156" w:afterLines="50" w:after="156" w:line="500" w:lineRule="exact"/>
        <w:jc w:val="center"/>
        <w:rPr>
          <w:rFonts w:asciiTheme="minorEastAsia" w:hAnsiTheme="minorEastAsia" w:cs="Times New Roman"/>
          <w:b/>
          <w:color w:val="FF0000"/>
          <w:kern w:val="0"/>
          <w:sz w:val="32"/>
          <w:szCs w:val="32"/>
        </w:rPr>
      </w:pPr>
      <w:r>
        <w:rPr>
          <w:rFonts w:asciiTheme="minorEastAsia" w:hAnsiTheme="minorEastAsia" w:cs="Times New Roman"/>
          <w:b/>
          <w:color w:val="FF0000"/>
          <w:kern w:val="0"/>
          <w:sz w:val="32"/>
          <w:szCs w:val="32"/>
        </w:rPr>
        <w:t>山东先达农化股份有限公司</w:t>
      </w:r>
    </w:p>
    <w:p w:rsidR="005F334F" w:rsidRDefault="00B36C4A">
      <w:pPr>
        <w:spacing w:beforeLines="50" w:before="156" w:afterLines="50" w:after="156"/>
        <w:jc w:val="center"/>
        <w:rPr>
          <w:rFonts w:asciiTheme="minorEastAsia" w:hAnsiTheme="minorEastAsia" w:cs="Times New Roman"/>
          <w:b/>
          <w:color w:val="FF0000"/>
          <w:kern w:val="0"/>
          <w:sz w:val="32"/>
          <w:szCs w:val="32"/>
        </w:rPr>
      </w:pPr>
      <w:r>
        <w:rPr>
          <w:rFonts w:asciiTheme="minorEastAsia" w:hAnsiTheme="minorEastAsia" w:cs="Times New Roman" w:hint="eastAsia"/>
          <w:b/>
          <w:color w:val="FF0000"/>
          <w:kern w:val="0"/>
          <w:sz w:val="32"/>
          <w:szCs w:val="32"/>
        </w:rPr>
        <w:t>关于2020年</w:t>
      </w:r>
      <w:r w:rsidRPr="00B36C4A">
        <w:rPr>
          <w:rFonts w:asciiTheme="minorEastAsia" w:hAnsiTheme="minorEastAsia" w:cs="Times New Roman" w:hint="eastAsia"/>
          <w:b/>
          <w:color w:val="FF0000"/>
          <w:kern w:val="0"/>
          <w:sz w:val="32"/>
          <w:szCs w:val="32"/>
        </w:rPr>
        <w:t>限制性股票</w:t>
      </w:r>
      <w:r>
        <w:rPr>
          <w:rFonts w:asciiTheme="minorEastAsia" w:hAnsiTheme="minorEastAsia" w:cs="Times New Roman" w:hint="eastAsia"/>
          <w:b/>
          <w:color w:val="FF0000"/>
          <w:kern w:val="0"/>
          <w:sz w:val="32"/>
          <w:szCs w:val="32"/>
        </w:rPr>
        <w:t>激励计划</w:t>
      </w:r>
      <w:r w:rsidRPr="00B36C4A">
        <w:rPr>
          <w:rFonts w:asciiTheme="minorEastAsia" w:hAnsiTheme="minorEastAsia" w:cs="Times New Roman" w:hint="eastAsia"/>
          <w:b/>
          <w:color w:val="FF0000"/>
          <w:kern w:val="0"/>
          <w:sz w:val="32"/>
          <w:szCs w:val="32"/>
        </w:rPr>
        <w:t>授予结果</w:t>
      </w:r>
      <w:r w:rsidR="00F61097">
        <w:rPr>
          <w:rFonts w:asciiTheme="minorEastAsia" w:hAnsiTheme="minorEastAsia" w:cs="Times New Roman" w:hint="eastAsia"/>
          <w:b/>
          <w:color w:val="FF0000"/>
          <w:kern w:val="0"/>
          <w:sz w:val="32"/>
          <w:szCs w:val="32"/>
        </w:rPr>
        <w:t>的</w:t>
      </w:r>
      <w:r w:rsidRPr="00B36C4A">
        <w:rPr>
          <w:rFonts w:asciiTheme="minorEastAsia" w:hAnsiTheme="minorEastAsia" w:cs="Times New Roman" w:hint="eastAsia"/>
          <w:b/>
          <w:color w:val="FF0000"/>
          <w:kern w:val="0"/>
          <w:sz w:val="32"/>
          <w:szCs w:val="32"/>
        </w:rPr>
        <w:t>公告</w:t>
      </w:r>
    </w:p>
    <w:tbl>
      <w:tblPr>
        <w:tblW w:w="86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tblGrid>
      <w:tr w:rsidR="005F334F">
        <w:trPr>
          <w:trHeight w:val="1125"/>
        </w:trPr>
        <w:tc>
          <w:tcPr>
            <w:tcW w:w="8610" w:type="dxa"/>
          </w:tcPr>
          <w:p w:rsidR="005F334F" w:rsidRDefault="00751F51">
            <w:pPr>
              <w:spacing w:beforeLines="50" w:before="156" w:afterLines="50" w:after="156" w:line="360" w:lineRule="auto"/>
              <w:ind w:left="105" w:firstLineChars="200" w:firstLine="480"/>
              <w:rPr>
                <w:rFonts w:ascii="Times New Roman" w:hAnsi="Times New Roman" w:cs="Times New Roman"/>
                <w:color w:val="000000"/>
                <w:kern w:val="0"/>
                <w:sz w:val="30"/>
                <w:szCs w:val="30"/>
              </w:rPr>
            </w:pPr>
            <w:r>
              <w:rPr>
                <w:rFonts w:ascii="Times New Roman" w:hAnsiTheme="minorEastAsia" w:cs="Times New Roman"/>
                <w:color w:val="000000"/>
                <w:kern w:val="0"/>
                <w:sz w:val="24"/>
                <w:szCs w:val="24"/>
              </w:rPr>
              <w:t>本公司</w:t>
            </w:r>
            <w:r>
              <w:rPr>
                <w:rFonts w:ascii="Times New Roman" w:hAnsiTheme="minorEastAsia" w:cs="Times New Roman" w:hint="eastAsia"/>
                <w:color w:val="000000"/>
                <w:kern w:val="0"/>
                <w:sz w:val="24"/>
                <w:szCs w:val="24"/>
              </w:rPr>
              <w:t>董事</w:t>
            </w:r>
            <w:r>
              <w:rPr>
                <w:rFonts w:ascii="Times New Roman" w:hAnsiTheme="minorEastAsia" w:cs="Times New Roman"/>
                <w:color w:val="000000"/>
                <w:kern w:val="0"/>
                <w:sz w:val="24"/>
                <w:szCs w:val="24"/>
              </w:rPr>
              <w:t>会及全体</w:t>
            </w:r>
            <w:r>
              <w:rPr>
                <w:rFonts w:ascii="Times New Roman" w:hAnsiTheme="minorEastAsia" w:cs="Times New Roman" w:hint="eastAsia"/>
                <w:color w:val="000000"/>
                <w:kern w:val="0"/>
                <w:sz w:val="24"/>
                <w:szCs w:val="24"/>
              </w:rPr>
              <w:t>董事</w:t>
            </w:r>
            <w:r>
              <w:rPr>
                <w:rFonts w:ascii="Times New Roman" w:hAnsiTheme="minorEastAsia" w:cs="Times New Roman"/>
                <w:color w:val="000000"/>
                <w:kern w:val="0"/>
                <w:sz w:val="24"/>
                <w:szCs w:val="24"/>
              </w:rPr>
              <w:t>保证本公告内容不存在任何虚假记载、误导性陈述或者重大遗漏，并对其内容的真实性、准确性和完整性承担个别及连带责任。</w:t>
            </w:r>
          </w:p>
        </w:tc>
      </w:tr>
    </w:tbl>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重要内容提示：</w:t>
      </w:r>
    </w:p>
    <w:p w:rsidR="005F334F" w:rsidRDefault="00B36C4A" w:rsidP="00B36C4A">
      <w:pPr>
        <w:pStyle w:val="1"/>
        <w:numPr>
          <w:ilvl w:val="0"/>
          <w:numId w:val="1"/>
        </w:numPr>
        <w:spacing w:beforeLines="50" w:before="156" w:afterLines="50" w:after="156" w:line="360" w:lineRule="auto"/>
        <w:ind w:firstLineChars="0"/>
        <w:rPr>
          <w:rFonts w:asciiTheme="minorEastAsia" w:hAnsiTheme="minorEastAsia"/>
          <w:sz w:val="24"/>
        </w:rPr>
      </w:pPr>
      <w:r w:rsidRPr="00B36C4A">
        <w:rPr>
          <w:rFonts w:asciiTheme="minorEastAsia" w:hAnsiTheme="minorEastAsia" w:hint="eastAsia"/>
          <w:sz w:val="24"/>
        </w:rPr>
        <w:t>限制性股票登</w:t>
      </w:r>
      <w:r w:rsidRPr="0076650C">
        <w:rPr>
          <w:rFonts w:asciiTheme="minorEastAsia" w:hAnsiTheme="minorEastAsia" w:hint="eastAsia"/>
          <w:sz w:val="24"/>
        </w:rPr>
        <w:t>记日</w:t>
      </w:r>
      <w:r w:rsidR="00751F51" w:rsidRPr="0076650C">
        <w:rPr>
          <w:rFonts w:asciiTheme="minorEastAsia" w:hAnsiTheme="minorEastAsia" w:hint="eastAsia"/>
          <w:sz w:val="24"/>
        </w:rPr>
        <w:t>：2020年9月</w:t>
      </w:r>
      <w:r w:rsidR="0076650C" w:rsidRPr="0076650C">
        <w:rPr>
          <w:rFonts w:asciiTheme="minorEastAsia" w:hAnsiTheme="minorEastAsia" w:hint="eastAsia"/>
          <w:sz w:val="24"/>
        </w:rPr>
        <w:t>2</w:t>
      </w:r>
      <w:r w:rsidR="008D59F4">
        <w:rPr>
          <w:rFonts w:asciiTheme="minorEastAsia" w:hAnsiTheme="minorEastAsia" w:hint="eastAsia"/>
          <w:sz w:val="24"/>
        </w:rPr>
        <w:t>2</w:t>
      </w:r>
      <w:r w:rsidR="00751F51" w:rsidRPr="0076650C">
        <w:rPr>
          <w:rFonts w:asciiTheme="minorEastAsia" w:hAnsiTheme="minorEastAsia" w:hint="eastAsia"/>
          <w:sz w:val="24"/>
        </w:rPr>
        <w:t>日</w:t>
      </w:r>
    </w:p>
    <w:p w:rsidR="005F334F" w:rsidRDefault="00B36C4A" w:rsidP="00B36C4A">
      <w:pPr>
        <w:pStyle w:val="1"/>
        <w:numPr>
          <w:ilvl w:val="0"/>
          <w:numId w:val="1"/>
        </w:numPr>
        <w:spacing w:beforeLines="50" w:before="156" w:afterLines="50" w:after="156" w:line="360" w:lineRule="auto"/>
        <w:ind w:firstLineChars="0"/>
        <w:rPr>
          <w:rFonts w:asciiTheme="minorEastAsia" w:hAnsiTheme="minorEastAsia"/>
          <w:sz w:val="24"/>
        </w:rPr>
      </w:pPr>
      <w:r w:rsidRPr="00B36C4A">
        <w:rPr>
          <w:rFonts w:asciiTheme="minorEastAsia" w:hAnsiTheme="minorEastAsia" w:hint="eastAsia"/>
          <w:sz w:val="24"/>
        </w:rPr>
        <w:t>限制性股票登记数量</w:t>
      </w:r>
      <w:r w:rsidR="00751F51">
        <w:rPr>
          <w:rFonts w:asciiTheme="minorEastAsia" w:hAnsiTheme="minorEastAsia" w:hint="eastAsia"/>
          <w:sz w:val="24"/>
        </w:rPr>
        <w:t>：169万股</w:t>
      </w:r>
    </w:p>
    <w:p w:rsidR="005F334F" w:rsidRDefault="00A726A5">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山东先达农化</w:t>
      </w:r>
      <w:r w:rsidRPr="00A726A5">
        <w:rPr>
          <w:rFonts w:asciiTheme="minorEastAsia" w:hAnsiTheme="minorEastAsia" w:hint="eastAsia"/>
          <w:sz w:val="24"/>
        </w:rPr>
        <w:t>股份有限公司（以下简称“公司”）</w:t>
      </w:r>
      <w:r w:rsidR="00D46C7B">
        <w:rPr>
          <w:rFonts w:asciiTheme="minorEastAsia" w:hAnsiTheme="minorEastAsia" w:hint="eastAsia"/>
          <w:sz w:val="24"/>
        </w:rPr>
        <w:t>于</w:t>
      </w:r>
      <w:r w:rsidR="00D46C7B" w:rsidRPr="0076650C">
        <w:rPr>
          <w:rFonts w:asciiTheme="minorEastAsia" w:hAnsiTheme="minorEastAsia" w:hint="eastAsia"/>
          <w:sz w:val="24"/>
        </w:rPr>
        <w:t>2020年9月</w:t>
      </w:r>
      <w:r w:rsidR="0076650C" w:rsidRPr="0076650C">
        <w:rPr>
          <w:rFonts w:asciiTheme="minorEastAsia" w:hAnsiTheme="minorEastAsia" w:hint="eastAsia"/>
          <w:sz w:val="24"/>
        </w:rPr>
        <w:t>2</w:t>
      </w:r>
      <w:r w:rsidR="008D59F4">
        <w:rPr>
          <w:rFonts w:asciiTheme="minorEastAsia" w:hAnsiTheme="minorEastAsia" w:hint="eastAsia"/>
          <w:sz w:val="24"/>
        </w:rPr>
        <w:t>2</w:t>
      </w:r>
      <w:r w:rsidR="00D46C7B" w:rsidRPr="0076650C">
        <w:rPr>
          <w:rFonts w:asciiTheme="minorEastAsia" w:hAnsiTheme="minorEastAsia" w:hint="eastAsia"/>
          <w:sz w:val="24"/>
        </w:rPr>
        <w:t>日</w:t>
      </w:r>
      <w:r w:rsidR="00D46C7B">
        <w:rPr>
          <w:rFonts w:asciiTheme="minorEastAsia" w:hAnsiTheme="minorEastAsia" w:hint="eastAsia"/>
          <w:sz w:val="24"/>
        </w:rPr>
        <w:t>在</w:t>
      </w:r>
      <w:r w:rsidR="00D46C7B" w:rsidRPr="00D46C7B">
        <w:rPr>
          <w:rFonts w:asciiTheme="minorEastAsia" w:hAnsiTheme="minorEastAsia" w:hint="eastAsia"/>
          <w:sz w:val="24"/>
        </w:rPr>
        <w:t>中国证券登记结算有限责任公司上海分公司办理完成了公司2020年</w:t>
      </w:r>
      <w:r w:rsidR="00D46C7B">
        <w:rPr>
          <w:rFonts w:asciiTheme="minorEastAsia" w:hAnsiTheme="minorEastAsia" w:hint="eastAsia"/>
          <w:sz w:val="24"/>
        </w:rPr>
        <w:t>限制性股票激励计划授予限制性股票的登记工作</w:t>
      </w:r>
      <w:r w:rsidR="00751F51">
        <w:rPr>
          <w:rFonts w:asciiTheme="minorEastAsia" w:hAnsiTheme="minorEastAsia" w:hint="eastAsia"/>
          <w:sz w:val="24"/>
        </w:rPr>
        <w:t>。现将有关</w:t>
      </w:r>
      <w:r w:rsidR="000A7485">
        <w:rPr>
          <w:rFonts w:asciiTheme="minorEastAsia" w:hAnsiTheme="minorEastAsia" w:hint="eastAsia"/>
          <w:sz w:val="24"/>
        </w:rPr>
        <w:t>内容公告</w:t>
      </w:r>
      <w:r w:rsidR="00751F51">
        <w:rPr>
          <w:rFonts w:asciiTheme="minorEastAsia" w:hAnsiTheme="minorEastAsia" w:hint="eastAsia"/>
          <w:sz w:val="24"/>
        </w:rPr>
        <w:t>如下：</w:t>
      </w:r>
    </w:p>
    <w:p w:rsidR="005F334F" w:rsidRDefault="00751F51">
      <w:pPr>
        <w:spacing w:beforeLines="50" w:before="156" w:afterLines="50" w:after="156" w:line="360" w:lineRule="auto"/>
        <w:ind w:left="480"/>
        <w:rPr>
          <w:rFonts w:asciiTheme="minorEastAsia" w:hAnsiTheme="minorEastAsia"/>
          <w:b/>
          <w:sz w:val="24"/>
        </w:rPr>
      </w:pPr>
      <w:r>
        <w:rPr>
          <w:rFonts w:asciiTheme="minorEastAsia" w:hAnsiTheme="minorEastAsia" w:hint="eastAsia"/>
          <w:b/>
          <w:sz w:val="24"/>
        </w:rPr>
        <w:t>一、</w:t>
      </w:r>
      <w:r w:rsidR="000A7485" w:rsidRPr="000A7485">
        <w:rPr>
          <w:rFonts w:asciiTheme="minorEastAsia" w:hAnsiTheme="minorEastAsia" w:hint="eastAsia"/>
          <w:b/>
          <w:sz w:val="24"/>
        </w:rPr>
        <w:t>限制性股票授予情况</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2020年9月1日，公司召开第三届董事会第十八次会议和第三届监事会第十八次会议，审议通过了《关于向公司2020年限制性股票激励计划激励对象授予限制性股票的议案》，确定以2020年9月1</w:t>
      </w:r>
      <w:r w:rsidR="00200DDC">
        <w:rPr>
          <w:rFonts w:asciiTheme="minorEastAsia" w:hAnsiTheme="minorEastAsia" w:hint="eastAsia"/>
          <w:sz w:val="24"/>
        </w:rPr>
        <w:t>日作为本</w:t>
      </w:r>
      <w:r>
        <w:rPr>
          <w:rFonts w:asciiTheme="minorEastAsia" w:hAnsiTheme="minorEastAsia" w:hint="eastAsia"/>
          <w:sz w:val="24"/>
        </w:rPr>
        <w:t>激励计划的授予日，按7.91元/股的授予价格向符合授予条件的34名激励对象授予169万股限制性股票。公司独立董事发表了独立意见，监事会</w:t>
      </w:r>
      <w:r>
        <w:rPr>
          <w:rFonts w:asciiTheme="minorEastAsia" w:hAnsiTheme="minorEastAsia" w:hint="eastAsia"/>
          <w:sz w:val="24"/>
          <w:lang w:eastAsia="zh-Hans"/>
        </w:rPr>
        <w:t>发表了核查意见书</w:t>
      </w:r>
      <w:r w:rsidR="004476A5">
        <w:rPr>
          <w:rFonts w:asciiTheme="minorEastAsia" w:hAnsiTheme="minorEastAsia" w:hint="eastAsia"/>
          <w:sz w:val="24"/>
        </w:rPr>
        <w:t>，</w:t>
      </w:r>
      <w:r>
        <w:rPr>
          <w:rFonts w:asciiTheme="minorEastAsia" w:hAnsiTheme="minorEastAsia" w:hint="eastAsia"/>
          <w:sz w:val="24"/>
        </w:rPr>
        <w:t>上海泽昌律师事务所出具了法律意见书。</w:t>
      </w:r>
    </w:p>
    <w:p w:rsidR="000A7485" w:rsidRDefault="00FD3117">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（一）限制性股票实际授予情况</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1、授予日：2020年9月1日</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2、授予数量：169万股</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3、授予人数：34人</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4、授予价格：7.91元/股</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lastRenderedPageBreak/>
        <w:t>5、股票来源：公司向激励对象定向发行公司A股普通股</w:t>
      </w:r>
    </w:p>
    <w:p w:rsidR="00FD3117" w:rsidRDefault="001A69F0" w:rsidP="00FD3117">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本次</w:t>
      </w:r>
      <w:r w:rsidR="00FD3117" w:rsidRPr="00FD3117">
        <w:rPr>
          <w:rFonts w:asciiTheme="minorEastAsia" w:hAnsiTheme="minorEastAsia" w:hint="eastAsia"/>
          <w:sz w:val="24"/>
        </w:rPr>
        <w:t>限制性股票实际授予的授予数量、授予价格、授予股票来源等与公司第</w:t>
      </w:r>
      <w:r>
        <w:rPr>
          <w:rFonts w:asciiTheme="minorEastAsia" w:hAnsiTheme="minorEastAsia" w:hint="eastAsia"/>
          <w:sz w:val="24"/>
        </w:rPr>
        <w:t>三届董事会第十八次</w:t>
      </w:r>
      <w:r w:rsidR="00FD3117" w:rsidRPr="00FD3117">
        <w:rPr>
          <w:rFonts w:asciiTheme="minorEastAsia" w:hAnsiTheme="minorEastAsia" w:hint="eastAsia"/>
          <w:sz w:val="24"/>
        </w:rPr>
        <w:t>会议审议通过的情况一致，</w:t>
      </w:r>
      <w:r>
        <w:rPr>
          <w:rFonts w:asciiTheme="minorEastAsia" w:hAnsiTheme="minorEastAsia" w:hint="eastAsia"/>
          <w:sz w:val="24"/>
        </w:rPr>
        <w:t xml:space="preserve">未有其他调整。 </w:t>
      </w:r>
    </w:p>
    <w:p w:rsidR="00FD3117" w:rsidRDefault="00FD3117">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（二）激励对象名单及授予情况</w:t>
      </w:r>
    </w:p>
    <w:tbl>
      <w:tblPr>
        <w:tblW w:w="8363" w:type="dxa"/>
        <w:tblInd w:w="108"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4A0" w:firstRow="1" w:lastRow="0" w:firstColumn="1" w:lastColumn="0" w:noHBand="0" w:noVBand="1"/>
      </w:tblPr>
      <w:tblGrid>
        <w:gridCol w:w="1276"/>
        <w:gridCol w:w="2268"/>
        <w:gridCol w:w="1558"/>
        <w:gridCol w:w="1701"/>
        <w:gridCol w:w="1560"/>
      </w:tblGrid>
      <w:tr w:rsidR="001A69F0" w:rsidRPr="001A69F0" w:rsidTr="001A69F0">
        <w:trPr>
          <w:trHeight w:val="510"/>
        </w:trPr>
        <w:tc>
          <w:tcPr>
            <w:tcW w:w="1276" w:type="dxa"/>
            <w:tcBorders>
              <w:top w:val="single" w:sz="12" w:space="0" w:color="auto"/>
              <w:left w:val="single" w:sz="12" w:space="0" w:color="auto"/>
              <w:bottom w:val="single" w:sz="8" w:space="0" w:color="000000"/>
              <w:right w:val="single" w:sz="8" w:space="0" w:color="000000"/>
            </w:tcBorders>
            <w:shd w:val="clear" w:color="auto" w:fill="D9D9D9"/>
            <w:vAlign w:val="center"/>
            <w:hideMark/>
          </w:tcPr>
          <w:p w:rsidR="001A69F0" w:rsidRPr="001A69F0" w:rsidRDefault="001A69F0" w:rsidP="001A69F0">
            <w:pPr>
              <w:widowControl/>
              <w:spacing w:line="360" w:lineRule="auto"/>
              <w:jc w:val="center"/>
              <w:rPr>
                <w:rFonts w:ascii="Times New Roman" w:eastAsia="宋体" w:hAnsi="Times New Roman" w:cs="Times New Roman"/>
                <w:b/>
                <w:bCs/>
                <w:color w:val="000000"/>
                <w:kern w:val="0"/>
                <w:szCs w:val="21"/>
              </w:rPr>
            </w:pPr>
            <w:r w:rsidRPr="001A69F0">
              <w:rPr>
                <w:rFonts w:ascii="Times New Roman" w:eastAsia="宋体" w:hAnsi="Times New Roman" w:cs="Times New Roman" w:hint="eastAsia"/>
                <w:b/>
                <w:bCs/>
                <w:color w:val="000000"/>
                <w:kern w:val="0"/>
                <w:szCs w:val="21"/>
              </w:rPr>
              <w:t>姓名</w:t>
            </w:r>
          </w:p>
        </w:tc>
        <w:tc>
          <w:tcPr>
            <w:tcW w:w="2268" w:type="dxa"/>
            <w:tcBorders>
              <w:top w:val="single" w:sz="12" w:space="0" w:color="auto"/>
              <w:left w:val="single" w:sz="8" w:space="0" w:color="000000"/>
              <w:bottom w:val="single" w:sz="8" w:space="0" w:color="000000"/>
              <w:right w:val="single" w:sz="8" w:space="0" w:color="000000"/>
            </w:tcBorders>
            <w:shd w:val="clear" w:color="auto" w:fill="D9D9D9"/>
            <w:vAlign w:val="center"/>
            <w:hideMark/>
          </w:tcPr>
          <w:p w:rsidR="001A69F0" w:rsidRPr="001A69F0" w:rsidRDefault="001A69F0" w:rsidP="001A69F0">
            <w:pPr>
              <w:widowControl/>
              <w:spacing w:line="360" w:lineRule="auto"/>
              <w:jc w:val="center"/>
              <w:rPr>
                <w:rFonts w:ascii="Times New Roman" w:eastAsia="宋体" w:hAnsi="Times New Roman" w:cs="Times New Roman"/>
                <w:b/>
                <w:bCs/>
                <w:color w:val="000000"/>
                <w:kern w:val="0"/>
                <w:szCs w:val="21"/>
              </w:rPr>
            </w:pPr>
            <w:r w:rsidRPr="001A69F0">
              <w:rPr>
                <w:rFonts w:ascii="Times New Roman" w:eastAsia="宋体" w:hAnsi="Times New Roman" w:cs="Times New Roman" w:hint="eastAsia"/>
                <w:b/>
                <w:bCs/>
                <w:color w:val="000000"/>
                <w:kern w:val="0"/>
                <w:szCs w:val="21"/>
              </w:rPr>
              <w:t>职务</w:t>
            </w:r>
          </w:p>
        </w:tc>
        <w:tc>
          <w:tcPr>
            <w:tcW w:w="1558" w:type="dxa"/>
            <w:tcBorders>
              <w:top w:val="single" w:sz="12" w:space="0" w:color="auto"/>
              <w:left w:val="single" w:sz="8" w:space="0" w:color="000000"/>
              <w:bottom w:val="single" w:sz="8" w:space="0" w:color="000000"/>
              <w:right w:val="single" w:sz="8" w:space="0" w:color="000000"/>
            </w:tcBorders>
            <w:shd w:val="clear" w:color="auto" w:fill="D9D9D9"/>
            <w:vAlign w:val="center"/>
            <w:hideMark/>
          </w:tcPr>
          <w:p w:rsidR="001A69F0" w:rsidRPr="001A69F0" w:rsidRDefault="001A69F0" w:rsidP="001A69F0">
            <w:pPr>
              <w:widowControl/>
              <w:spacing w:line="360" w:lineRule="auto"/>
              <w:jc w:val="center"/>
              <w:rPr>
                <w:rFonts w:ascii="Times New Roman" w:eastAsia="宋体" w:hAnsi="Times New Roman" w:cs="Times New Roman"/>
                <w:b/>
                <w:bCs/>
                <w:color w:val="000000"/>
                <w:kern w:val="0"/>
                <w:szCs w:val="21"/>
              </w:rPr>
            </w:pPr>
            <w:r w:rsidRPr="001A69F0">
              <w:rPr>
                <w:rFonts w:ascii="Times New Roman" w:eastAsia="宋体" w:hAnsi="Times New Roman" w:cs="Times New Roman" w:hint="eastAsia"/>
                <w:b/>
                <w:bCs/>
                <w:color w:val="000000"/>
                <w:kern w:val="0"/>
                <w:szCs w:val="21"/>
              </w:rPr>
              <w:t>授予数量</w:t>
            </w:r>
            <w:r w:rsidRPr="001A69F0">
              <w:rPr>
                <w:rFonts w:ascii="Times New Roman" w:eastAsia="宋体" w:hAnsi="Times New Roman" w:cs="Times New Roman"/>
                <w:b/>
                <w:bCs/>
                <w:color w:val="000000"/>
                <w:kern w:val="0"/>
                <w:szCs w:val="21"/>
              </w:rPr>
              <w:t>(</w:t>
            </w:r>
            <w:r w:rsidRPr="001A69F0">
              <w:rPr>
                <w:rFonts w:ascii="宋体" w:eastAsia="宋体" w:hAnsi="宋体" w:cs="Times New Roman"/>
                <w:b/>
                <w:bCs/>
                <w:color w:val="000000"/>
                <w:kern w:val="0"/>
                <w:szCs w:val="21"/>
              </w:rPr>
              <w:t>万股</w:t>
            </w:r>
            <w:r w:rsidRPr="001A69F0">
              <w:rPr>
                <w:rFonts w:ascii="Times New Roman" w:eastAsia="宋体" w:hAnsi="Times New Roman" w:cs="Times New Roman"/>
                <w:b/>
                <w:bCs/>
                <w:color w:val="000000"/>
                <w:kern w:val="0"/>
                <w:szCs w:val="21"/>
              </w:rPr>
              <w:t>)</w:t>
            </w:r>
          </w:p>
        </w:tc>
        <w:tc>
          <w:tcPr>
            <w:tcW w:w="1701" w:type="dxa"/>
            <w:tcBorders>
              <w:top w:val="single" w:sz="12" w:space="0" w:color="auto"/>
              <w:left w:val="single" w:sz="8" w:space="0" w:color="000000"/>
              <w:bottom w:val="single" w:sz="8" w:space="0" w:color="000000"/>
              <w:right w:val="single" w:sz="8" w:space="0" w:color="000000"/>
            </w:tcBorders>
            <w:shd w:val="clear" w:color="auto" w:fill="D9D9D9"/>
            <w:vAlign w:val="center"/>
            <w:hideMark/>
          </w:tcPr>
          <w:p w:rsidR="001A69F0" w:rsidRPr="001A69F0" w:rsidRDefault="001A69F0" w:rsidP="001A69F0">
            <w:pPr>
              <w:widowControl/>
              <w:spacing w:line="360" w:lineRule="auto"/>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占</w:t>
            </w:r>
            <w:r w:rsidRPr="001A69F0">
              <w:rPr>
                <w:rFonts w:ascii="Times New Roman" w:eastAsia="宋体" w:hAnsi="Times New Roman" w:cs="Times New Roman"/>
                <w:b/>
                <w:bCs/>
                <w:color w:val="000000"/>
                <w:kern w:val="0"/>
                <w:szCs w:val="21"/>
              </w:rPr>
              <w:t>限制性股票总数的比例（</w:t>
            </w:r>
            <w:r w:rsidRPr="001A69F0">
              <w:rPr>
                <w:rFonts w:ascii="Times New Roman" w:eastAsia="宋体" w:hAnsi="Times New Roman" w:cs="Times New Roman"/>
                <w:b/>
                <w:bCs/>
                <w:color w:val="000000"/>
                <w:kern w:val="0"/>
                <w:szCs w:val="21"/>
              </w:rPr>
              <w:t>%</w:t>
            </w:r>
            <w:r w:rsidRPr="001A69F0">
              <w:rPr>
                <w:rFonts w:ascii="宋体" w:eastAsia="宋体" w:hAnsi="宋体" w:cs="Times New Roman"/>
                <w:b/>
                <w:bCs/>
                <w:color w:val="000000"/>
                <w:kern w:val="0"/>
                <w:szCs w:val="21"/>
              </w:rPr>
              <w:t>）</w:t>
            </w:r>
          </w:p>
        </w:tc>
        <w:tc>
          <w:tcPr>
            <w:tcW w:w="1560" w:type="dxa"/>
            <w:tcBorders>
              <w:top w:val="single" w:sz="12" w:space="0" w:color="auto"/>
              <w:left w:val="single" w:sz="8" w:space="0" w:color="000000"/>
              <w:bottom w:val="single" w:sz="8" w:space="0" w:color="000000"/>
              <w:right w:val="single" w:sz="12" w:space="0" w:color="auto"/>
            </w:tcBorders>
            <w:shd w:val="clear" w:color="auto" w:fill="D9D9D9"/>
            <w:vAlign w:val="center"/>
            <w:hideMark/>
          </w:tcPr>
          <w:p w:rsidR="001A69F0" w:rsidRPr="001A69F0" w:rsidRDefault="001A69F0" w:rsidP="001A69F0">
            <w:pPr>
              <w:widowControl/>
              <w:spacing w:line="360" w:lineRule="auto"/>
              <w:jc w:val="center"/>
              <w:rPr>
                <w:rFonts w:ascii="Times New Roman" w:eastAsia="宋体" w:hAnsi="Times New Roman" w:cs="Times New Roman"/>
                <w:b/>
                <w:bCs/>
                <w:color w:val="000000"/>
                <w:kern w:val="0"/>
                <w:szCs w:val="21"/>
              </w:rPr>
            </w:pPr>
            <w:r w:rsidRPr="001A69F0">
              <w:rPr>
                <w:rFonts w:ascii="Times New Roman" w:eastAsia="宋体" w:hAnsi="Times New Roman" w:cs="Times New Roman"/>
                <w:b/>
                <w:bCs/>
                <w:color w:val="000000"/>
                <w:kern w:val="0"/>
                <w:szCs w:val="21"/>
              </w:rPr>
              <w:t>占</w:t>
            </w:r>
            <w:r>
              <w:rPr>
                <w:rFonts w:ascii="Times New Roman" w:eastAsia="宋体" w:hAnsi="Times New Roman" w:cs="Times New Roman" w:hint="eastAsia"/>
                <w:b/>
                <w:bCs/>
                <w:color w:val="000000"/>
                <w:kern w:val="0"/>
                <w:szCs w:val="21"/>
              </w:rPr>
              <w:t>授予时总</w:t>
            </w:r>
            <w:r w:rsidRPr="001A69F0">
              <w:rPr>
                <w:rFonts w:ascii="Times New Roman" w:eastAsia="宋体" w:hAnsi="Times New Roman" w:cs="Times New Roman"/>
                <w:b/>
                <w:bCs/>
                <w:color w:val="000000"/>
                <w:kern w:val="0"/>
                <w:szCs w:val="21"/>
              </w:rPr>
              <w:t>股本的比例（</w:t>
            </w:r>
            <w:r w:rsidRPr="001A69F0">
              <w:rPr>
                <w:rFonts w:ascii="Times New Roman" w:eastAsia="宋体" w:hAnsi="Times New Roman" w:cs="Times New Roman"/>
                <w:b/>
                <w:bCs/>
                <w:color w:val="000000"/>
                <w:kern w:val="0"/>
                <w:szCs w:val="21"/>
              </w:rPr>
              <w:t>%</w:t>
            </w:r>
            <w:r w:rsidRPr="001A69F0">
              <w:rPr>
                <w:rFonts w:ascii="宋体" w:eastAsia="宋体" w:hAnsi="宋体" w:cs="Times New Roman"/>
                <w:b/>
                <w:bCs/>
                <w:color w:val="000000"/>
                <w:kern w:val="0"/>
                <w:szCs w:val="21"/>
              </w:rPr>
              <w:t>）</w:t>
            </w:r>
          </w:p>
        </w:tc>
      </w:tr>
      <w:tr w:rsidR="001A69F0" w:rsidRPr="001A69F0" w:rsidTr="001A69F0">
        <w:trPr>
          <w:trHeight w:val="499"/>
        </w:trPr>
        <w:tc>
          <w:tcPr>
            <w:tcW w:w="1276" w:type="dxa"/>
            <w:tcBorders>
              <w:top w:val="single" w:sz="8" w:space="0" w:color="000000"/>
              <w:left w:val="single" w:sz="12" w:space="0" w:color="auto"/>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proofErr w:type="gramStart"/>
            <w:r w:rsidRPr="001A69F0">
              <w:rPr>
                <w:rFonts w:asciiTheme="minorEastAsia" w:hAnsiTheme="minorEastAsia" w:cs="Times New Roman"/>
                <w:color w:val="000000"/>
                <w:kern w:val="0"/>
                <w:szCs w:val="21"/>
              </w:rPr>
              <w:t>门亮</w:t>
            </w:r>
            <w:proofErr w:type="gramEnd"/>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总经理</w:t>
            </w:r>
          </w:p>
        </w:tc>
        <w:tc>
          <w:tcPr>
            <w:tcW w:w="1558"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16</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hint="eastAsia"/>
                <w:color w:val="000000"/>
                <w:kern w:val="0"/>
                <w:szCs w:val="21"/>
              </w:rPr>
              <w:t>9.4</w:t>
            </w:r>
            <w:r w:rsidRPr="001A69F0">
              <w:rPr>
                <w:rFonts w:asciiTheme="minorEastAsia" w:hAnsiTheme="minorEastAsia" w:cs="Times New Roman"/>
                <w:color w:val="000000"/>
                <w:kern w:val="0"/>
                <w:szCs w:val="21"/>
              </w:rPr>
              <w:t>7</w:t>
            </w:r>
          </w:p>
        </w:tc>
        <w:tc>
          <w:tcPr>
            <w:tcW w:w="1560" w:type="dxa"/>
            <w:tcBorders>
              <w:top w:val="single" w:sz="8" w:space="0" w:color="000000"/>
              <w:left w:val="single" w:sz="8" w:space="0" w:color="000000"/>
              <w:bottom w:val="single" w:sz="8" w:space="0" w:color="000000"/>
              <w:right w:val="single" w:sz="12" w:space="0" w:color="auto"/>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szCs w:val="21"/>
              </w:rPr>
            </w:pPr>
            <w:r w:rsidRPr="001A69F0">
              <w:rPr>
                <w:rFonts w:asciiTheme="minorEastAsia" w:hAnsiTheme="minorEastAsia" w:cs="Times New Roman" w:hint="eastAsia"/>
                <w:color w:val="000000"/>
                <w:szCs w:val="21"/>
              </w:rPr>
              <w:t>0.10</w:t>
            </w:r>
          </w:p>
        </w:tc>
      </w:tr>
      <w:tr w:rsidR="001A69F0" w:rsidRPr="001A69F0" w:rsidTr="001A69F0">
        <w:trPr>
          <w:trHeight w:val="454"/>
        </w:trPr>
        <w:tc>
          <w:tcPr>
            <w:tcW w:w="1276" w:type="dxa"/>
            <w:tcBorders>
              <w:top w:val="single" w:sz="8" w:space="0" w:color="000000"/>
              <w:left w:val="single" w:sz="12" w:space="0" w:color="auto"/>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proofErr w:type="gramStart"/>
            <w:r w:rsidRPr="001A69F0">
              <w:rPr>
                <w:rFonts w:asciiTheme="minorEastAsia" w:hAnsiTheme="minorEastAsia" w:cs="Times New Roman" w:hint="eastAsia"/>
                <w:color w:val="000000"/>
                <w:kern w:val="0"/>
                <w:szCs w:val="21"/>
              </w:rPr>
              <w:t>刘相水</w:t>
            </w:r>
            <w:proofErr w:type="gramEnd"/>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副总经理</w:t>
            </w:r>
          </w:p>
        </w:tc>
        <w:tc>
          <w:tcPr>
            <w:tcW w:w="1558"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13</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hint="eastAsia"/>
                <w:color w:val="000000"/>
                <w:kern w:val="0"/>
                <w:szCs w:val="21"/>
              </w:rPr>
              <w:t>7.69</w:t>
            </w:r>
          </w:p>
        </w:tc>
        <w:tc>
          <w:tcPr>
            <w:tcW w:w="1560" w:type="dxa"/>
            <w:tcBorders>
              <w:top w:val="single" w:sz="8" w:space="0" w:color="000000"/>
              <w:left w:val="single" w:sz="8" w:space="0" w:color="000000"/>
              <w:bottom w:val="single" w:sz="8" w:space="0" w:color="000000"/>
              <w:right w:val="single" w:sz="12" w:space="0" w:color="auto"/>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szCs w:val="21"/>
              </w:rPr>
            </w:pPr>
            <w:r w:rsidRPr="001A69F0">
              <w:rPr>
                <w:rFonts w:asciiTheme="minorEastAsia" w:hAnsiTheme="minorEastAsia" w:cs="Times New Roman" w:hint="eastAsia"/>
                <w:color w:val="000000"/>
                <w:szCs w:val="21"/>
              </w:rPr>
              <w:t>0.08</w:t>
            </w:r>
          </w:p>
        </w:tc>
      </w:tr>
      <w:tr w:rsidR="001A69F0" w:rsidRPr="001A69F0" w:rsidTr="001A69F0">
        <w:trPr>
          <w:trHeight w:val="454"/>
        </w:trPr>
        <w:tc>
          <w:tcPr>
            <w:tcW w:w="1276" w:type="dxa"/>
            <w:tcBorders>
              <w:top w:val="single" w:sz="8" w:space="0" w:color="000000"/>
              <w:left w:val="single" w:sz="12" w:space="0" w:color="auto"/>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szCs w:val="21"/>
              </w:rPr>
            </w:pPr>
            <w:r w:rsidRPr="001A69F0">
              <w:rPr>
                <w:rFonts w:asciiTheme="minorEastAsia" w:hAnsiTheme="minorEastAsia" w:cs="Times New Roman"/>
                <w:szCs w:val="21"/>
              </w:rPr>
              <w:t>姚长明</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董事、副总经理</w:t>
            </w:r>
          </w:p>
        </w:tc>
        <w:tc>
          <w:tcPr>
            <w:tcW w:w="1558"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10</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hint="eastAsia"/>
                <w:color w:val="000000"/>
                <w:kern w:val="0"/>
                <w:szCs w:val="21"/>
              </w:rPr>
              <w:t>5.9</w:t>
            </w:r>
            <w:r w:rsidRPr="001A69F0">
              <w:rPr>
                <w:rFonts w:asciiTheme="minorEastAsia" w:hAnsiTheme="minorEastAsia" w:cs="Times New Roman"/>
                <w:color w:val="000000"/>
                <w:kern w:val="0"/>
                <w:szCs w:val="21"/>
              </w:rPr>
              <w:t>2</w:t>
            </w:r>
          </w:p>
        </w:tc>
        <w:tc>
          <w:tcPr>
            <w:tcW w:w="1560" w:type="dxa"/>
            <w:tcBorders>
              <w:top w:val="single" w:sz="8" w:space="0" w:color="000000"/>
              <w:left w:val="single" w:sz="8" w:space="0" w:color="000000"/>
              <w:bottom w:val="single" w:sz="8" w:space="0" w:color="000000"/>
              <w:right w:val="single" w:sz="12" w:space="0" w:color="auto"/>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szCs w:val="21"/>
              </w:rPr>
            </w:pPr>
            <w:r w:rsidRPr="001A69F0">
              <w:rPr>
                <w:rFonts w:asciiTheme="minorEastAsia" w:hAnsiTheme="minorEastAsia" w:cs="Times New Roman" w:hint="eastAsia"/>
                <w:color w:val="000000"/>
                <w:szCs w:val="21"/>
              </w:rPr>
              <w:t>0.06</w:t>
            </w:r>
          </w:p>
        </w:tc>
      </w:tr>
      <w:tr w:rsidR="001A69F0" w:rsidRPr="001A69F0" w:rsidTr="001A69F0">
        <w:trPr>
          <w:trHeight w:val="454"/>
        </w:trPr>
        <w:tc>
          <w:tcPr>
            <w:tcW w:w="1276" w:type="dxa"/>
            <w:tcBorders>
              <w:top w:val="single" w:sz="8" w:space="0" w:color="000000"/>
              <w:left w:val="single" w:sz="12" w:space="0" w:color="auto"/>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szCs w:val="21"/>
              </w:rPr>
            </w:pPr>
            <w:r w:rsidRPr="001A69F0">
              <w:rPr>
                <w:rFonts w:asciiTheme="minorEastAsia" w:hAnsiTheme="minorEastAsia" w:cs="Times New Roman"/>
                <w:szCs w:val="21"/>
              </w:rPr>
              <w:t>江广同</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财务总监、董事会秘书</w:t>
            </w:r>
          </w:p>
        </w:tc>
        <w:tc>
          <w:tcPr>
            <w:tcW w:w="1558"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7</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hint="eastAsia"/>
                <w:color w:val="000000"/>
                <w:kern w:val="0"/>
                <w:szCs w:val="21"/>
              </w:rPr>
              <w:t>4.14</w:t>
            </w:r>
          </w:p>
        </w:tc>
        <w:tc>
          <w:tcPr>
            <w:tcW w:w="1560" w:type="dxa"/>
            <w:tcBorders>
              <w:top w:val="single" w:sz="8" w:space="0" w:color="000000"/>
              <w:left w:val="single" w:sz="8" w:space="0" w:color="000000"/>
              <w:bottom w:val="single" w:sz="8" w:space="0" w:color="000000"/>
              <w:right w:val="single" w:sz="12" w:space="0" w:color="auto"/>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szCs w:val="21"/>
              </w:rPr>
            </w:pPr>
            <w:r w:rsidRPr="001A69F0">
              <w:rPr>
                <w:rFonts w:asciiTheme="minorEastAsia" w:hAnsiTheme="minorEastAsia" w:cs="Times New Roman" w:hint="eastAsia"/>
                <w:color w:val="000000"/>
                <w:szCs w:val="21"/>
              </w:rPr>
              <w:t>0.0</w:t>
            </w:r>
            <w:r w:rsidRPr="001A69F0">
              <w:rPr>
                <w:rFonts w:asciiTheme="minorEastAsia" w:hAnsiTheme="minorEastAsia" w:cs="Times New Roman"/>
                <w:color w:val="000000"/>
                <w:szCs w:val="21"/>
              </w:rPr>
              <w:t>5</w:t>
            </w:r>
          </w:p>
        </w:tc>
      </w:tr>
      <w:tr w:rsidR="001A69F0" w:rsidRPr="001A69F0" w:rsidTr="001A69F0">
        <w:trPr>
          <w:trHeight w:val="454"/>
        </w:trPr>
        <w:tc>
          <w:tcPr>
            <w:tcW w:w="3544" w:type="dxa"/>
            <w:gridSpan w:val="2"/>
            <w:tcBorders>
              <w:top w:val="single" w:sz="8" w:space="0" w:color="000000"/>
              <w:left w:val="single" w:sz="12" w:space="0" w:color="auto"/>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szCs w:val="21"/>
              </w:rPr>
              <w:t>核心</w:t>
            </w:r>
            <w:r w:rsidRPr="001A69F0">
              <w:rPr>
                <w:rFonts w:asciiTheme="minorEastAsia" w:hAnsiTheme="minorEastAsia" w:cs="Times New Roman" w:hint="eastAsia"/>
                <w:szCs w:val="21"/>
              </w:rPr>
              <w:t>骨干</w:t>
            </w:r>
            <w:r w:rsidRPr="001A69F0">
              <w:rPr>
                <w:rFonts w:asciiTheme="minorEastAsia" w:hAnsiTheme="minorEastAsia" w:cs="Times New Roman"/>
                <w:szCs w:val="21"/>
              </w:rPr>
              <w:t>人员（30人）</w:t>
            </w:r>
          </w:p>
        </w:tc>
        <w:tc>
          <w:tcPr>
            <w:tcW w:w="1558"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123</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hint="eastAsia"/>
                <w:color w:val="000000"/>
                <w:kern w:val="0"/>
                <w:szCs w:val="21"/>
              </w:rPr>
              <w:t>72.78</w:t>
            </w:r>
          </w:p>
        </w:tc>
        <w:tc>
          <w:tcPr>
            <w:tcW w:w="1560" w:type="dxa"/>
            <w:tcBorders>
              <w:top w:val="single" w:sz="8" w:space="0" w:color="000000"/>
              <w:left w:val="single" w:sz="8" w:space="0" w:color="000000"/>
              <w:bottom w:val="single" w:sz="8" w:space="0" w:color="000000"/>
              <w:right w:val="single" w:sz="12" w:space="0" w:color="auto"/>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szCs w:val="21"/>
              </w:rPr>
            </w:pPr>
            <w:r w:rsidRPr="001A69F0">
              <w:rPr>
                <w:rFonts w:asciiTheme="minorEastAsia" w:hAnsiTheme="minorEastAsia" w:cs="Times New Roman" w:hint="eastAsia"/>
                <w:color w:val="000000"/>
                <w:szCs w:val="21"/>
              </w:rPr>
              <w:t>0.7</w:t>
            </w:r>
            <w:r w:rsidRPr="001A69F0">
              <w:rPr>
                <w:rFonts w:asciiTheme="minorEastAsia" w:hAnsiTheme="minorEastAsia" w:cs="Times New Roman"/>
                <w:color w:val="000000"/>
                <w:szCs w:val="21"/>
              </w:rPr>
              <w:t>9</w:t>
            </w:r>
          </w:p>
        </w:tc>
      </w:tr>
      <w:tr w:rsidR="001A69F0" w:rsidRPr="001A69F0" w:rsidTr="001A69F0">
        <w:trPr>
          <w:trHeight w:val="454"/>
        </w:trPr>
        <w:tc>
          <w:tcPr>
            <w:tcW w:w="3544" w:type="dxa"/>
            <w:gridSpan w:val="2"/>
            <w:tcBorders>
              <w:top w:val="single" w:sz="8" w:space="0" w:color="000000"/>
              <w:left w:val="single" w:sz="12" w:space="0" w:color="auto"/>
              <w:bottom w:val="single" w:sz="12" w:space="0" w:color="auto"/>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szCs w:val="21"/>
              </w:rPr>
            </w:pPr>
            <w:r w:rsidRPr="001A69F0">
              <w:rPr>
                <w:rFonts w:asciiTheme="minorEastAsia" w:hAnsiTheme="minorEastAsia" w:cs="Times New Roman" w:hint="eastAsia"/>
                <w:szCs w:val="21"/>
              </w:rPr>
              <w:t>合计（</w:t>
            </w:r>
            <w:r w:rsidRPr="001A69F0">
              <w:rPr>
                <w:rFonts w:asciiTheme="minorEastAsia" w:hAnsiTheme="minorEastAsia" w:cs="Times New Roman"/>
                <w:szCs w:val="21"/>
              </w:rPr>
              <w:t>34</w:t>
            </w:r>
            <w:r w:rsidRPr="001A69F0">
              <w:rPr>
                <w:rFonts w:asciiTheme="minorEastAsia" w:hAnsiTheme="minorEastAsia" w:cs="Times New Roman" w:hint="eastAsia"/>
                <w:szCs w:val="21"/>
              </w:rPr>
              <w:t>人）</w:t>
            </w:r>
          </w:p>
        </w:tc>
        <w:tc>
          <w:tcPr>
            <w:tcW w:w="1558" w:type="dxa"/>
            <w:tcBorders>
              <w:top w:val="single" w:sz="8" w:space="0" w:color="000000"/>
              <w:left w:val="single" w:sz="8" w:space="0" w:color="000000"/>
              <w:bottom w:val="single" w:sz="12" w:space="0" w:color="auto"/>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color w:val="000000"/>
                <w:kern w:val="0"/>
                <w:szCs w:val="21"/>
              </w:rPr>
              <w:t>169</w:t>
            </w:r>
          </w:p>
        </w:tc>
        <w:tc>
          <w:tcPr>
            <w:tcW w:w="1701" w:type="dxa"/>
            <w:tcBorders>
              <w:top w:val="single" w:sz="8" w:space="0" w:color="000000"/>
              <w:left w:val="single" w:sz="8" w:space="0" w:color="000000"/>
              <w:bottom w:val="single" w:sz="12" w:space="0" w:color="auto"/>
              <w:right w:val="single" w:sz="8" w:space="0" w:color="000000"/>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kern w:val="0"/>
                <w:szCs w:val="21"/>
              </w:rPr>
            </w:pPr>
            <w:r w:rsidRPr="001A69F0">
              <w:rPr>
                <w:rFonts w:asciiTheme="minorEastAsia" w:hAnsiTheme="minorEastAsia" w:cs="Times New Roman" w:hint="eastAsia"/>
                <w:color w:val="000000"/>
                <w:kern w:val="0"/>
                <w:szCs w:val="21"/>
              </w:rPr>
              <w:t>1</w:t>
            </w:r>
            <w:r w:rsidRPr="001A69F0">
              <w:rPr>
                <w:rFonts w:asciiTheme="minorEastAsia" w:hAnsiTheme="minorEastAsia" w:cs="Times New Roman"/>
                <w:color w:val="000000"/>
                <w:kern w:val="0"/>
                <w:szCs w:val="21"/>
              </w:rPr>
              <w:t>00</w:t>
            </w:r>
          </w:p>
        </w:tc>
        <w:tc>
          <w:tcPr>
            <w:tcW w:w="1560" w:type="dxa"/>
            <w:tcBorders>
              <w:top w:val="single" w:sz="8" w:space="0" w:color="000000"/>
              <w:left w:val="single" w:sz="8" w:space="0" w:color="000000"/>
              <w:bottom w:val="single" w:sz="12" w:space="0" w:color="auto"/>
              <w:right w:val="single" w:sz="12" w:space="0" w:color="auto"/>
            </w:tcBorders>
            <w:vAlign w:val="center"/>
            <w:hideMark/>
          </w:tcPr>
          <w:p w:rsidR="001A69F0" w:rsidRPr="001A69F0" w:rsidRDefault="001A69F0" w:rsidP="001A69F0">
            <w:pPr>
              <w:widowControl/>
              <w:spacing w:line="360" w:lineRule="auto"/>
              <w:jc w:val="center"/>
              <w:rPr>
                <w:rFonts w:asciiTheme="minorEastAsia" w:hAnsiTheme="minorEastAsia" w:cs="Times New Roman"/>
                <w:color w:val="000000"/>
                <w:szCs w:val="21"/>
              </w:rPr>
            </w:pPr>
            <w:r w:rsidRPr="001A69F0">
              <w:rPr>
                <w:rFonts w:asciiTheme="minorEastAsia" w:hAnsiTheme="minorEastAsia" w:cs="Times New Roman" w:hint="eastAsia"/>
                <w:color w:val="000000"/>
                <w:kern w:val="0"/>
                <w:szCs w:val="21"/>
              </w:rPr>
              <w:t>1.0</w:t>
            </w:r>
            <w:r w:rsidRPr="001A69F0">
              <w:rPr>
                <w:rFonts w:asciiTheme="minorEastAsia" w:hAnsiTheme="minorEastAsia" w:cs="Times New Roman"/>
                <w:color w:val="000000"/>
                <w:kern w:val="0"/>
                <w:szCs w:val="21"/>
              </w:rPr>
              <w:t>8</w:t>
            </w:r>
          </w:p>
        </w:tc>
      </w:tr>
    </w:tbl>
    <w:p w:rsidR="001A69F0" w:rsidRPr="001A69F0" w:rsidRDefault="001A69F0" w:rsidP="001A69F0">
      <w:pPr>
        <w:spacing w:beforeLines="50" w:before="156" w:afterLines="50" w:after="156" w:line="360" w:lineRule="auto"/>
        <w:ind w:firstLineChars="200" w:firstLine="482"/>
        <w:rPr>
          <w:rFonts w:asciiTheme="minorEastAsia" w:hAnsiTheme="minorEastAsia"/>
          <w:b/>
          <w:sz w:val="24"/>
        </w:rPr>
      </w:pPr>
      <w:r w:rsidRPr="001A69F0">
        <w:rPr>
          <w:rFonts w:asciiTheme="minorEastAsia" w:hAnsiTheme="minorEastAsia" w:hint="eastAsia"/>
          <w:b/>
          <w:sz w:val="24"/>
        </w:rPr>
        <w:t>二、激励计划的有效期、锁定期和解锁安排情况</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（1）限制性股票激励计划的有效期</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本激励计划有效期自限制性股票上市之日起至激励</w:t>
      </w:r>
      <w:proofErr w:type="gramStart"/>
      <w:r>
        <w:rPr>
          <w:rFonts w:asciiTheme="minorEastAsia" w:hAnsiTheme="minorEastAsia" w:hint="eastAsia"/>
          <w:sz w:val="24"/>
        </w:rPr>
        <w:t>对象获</w:t>
      </w:r>
      <w:proofErr w:type="gramEnd"/>
      <w:r>
        <w:rPr>
          <w:rFonts w:asciiTheme="minorEastAsia" w:hAnsiTheme="minorEastAsia" w:hint="eastAsia"/>
          <w:sz w:val="24"/>
        </w:rPr>
        <w:t>授的限制性股票全部解除限售或回购注销之日止，最长不超过48个月。</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（2）限制性股票激励计划的限售期和解除限售安排</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本激励计划各批次限制性股票的限售期分别为自限制性股票上市之日起12个月、24个月和36个月。激励对象根据本激励计划获授的限制性股票在解除限售前不得转让、用于担保或偿还债务。激励</w:t>
      </w:r>
      <w:proofErr w:type="gramStart"/>
      <w:r>
        <w:rPr>
          <w:rFonts w:asciiTheme="minorEastAsia" w:hAnsiTheme="minorEastAsia" w:hint="eastAsia"/>
          <w:sz w:val="24"/>
        </w:rPr>
        <w:t>对象获</w:t>
      </w:r>
      <w:proofErr w:type="gramEnd"/>
      <w:r>
        <w:rPr>
          <w:rFonts w:asciiTheme="minorEastAsia" w:hAnsiTheme="minorEastAsia" w:hint="eastAsia"/>
          <w:sz w:val="24"/>
        </w:rPr>
        <w:t>授的限制性股票由于资本公积金转增股本、股票红利、股票拆细而取得的股份同时限售，不得在二级市场出售或以其他方式转让，该等股份的解除限售期与限制性股票解除限售期相同。</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限售期满后，公司为满足解除限售条件的激励对象办理解除限售事宜，未满足解除限售条件的激励对象持有的限制性股票由公司回购注销。</w:t>
      </w:r>
    </w:p>
    <w:p w:rsidR="005F334F" w:rsidRDefault="00751F51" w:rsidP="00200DDC">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本激励计划授予的限制性股票的解除限售期及各期解除限售时间安排如下表所示：</w:t>
      </w:r>
    </w:p>
    <w:tbl>
      <w:tblPr>
        <w:tblW w:w="8928" w:type="dxa"/>
        <w:jc w:val="center"/>
        <w:tblLayout w:type="fixed"/>
        <w:tblLook w:val="04A0" w:firstRow="1" w:lastRow="0" w:firstColumn="1" w:lastColumn="0" w:noHBand="0" w:noVBand="1"/>
      </w:tblPr>
      <w:tblGrid>
        <w:gridCol w:w="1982"/>
        <w:gridCol w:w="5387"/>
        <w:gridCol w:w="1559"/>
      </w:tblGrid>
      <w:tr w:rsidR="005F334F">
        <w:trPr>
          <w:trHeight w:val="632"/>
          <w:jc w:val="center"/>
        </w:trPr>
        <w:tc>
          <w:tcPr>
            <w:tcW w:w="1982" w:type="dxa"/>
            <w:tcBorders>
              <w:top w:val="single" w:sz="12" w:space="0" w:color="auto"/>
              <w:left w:val="single" w:sz="12" w:space="0" w:color="auto"/>
              <w:bottom w:val="single" w:sz="6" w:space="0" w:color="000000"/>
              <w:right w:val="single" w:sz="4" w:space="0" w:color="000000"/>
            </w:tcBorders>
            <w:shd w:val="clear" w:color="auto" w:fill="BFBFBF"/>
            <w:vAlign w:val="center"/>
          </w:tcPr>
          <w:p w:rsidR="005F334F" w:rsidRDefault="00751F51" w:rsidP="00200DDC">
            <w:pPr>
              <w:jc w:val="center"/>
              <w:rPr>
                <w:rFonts w:ascii="Times New Roman" w:eastAsia="宋体" w:hAnsi="Times New Roman" w:cs="Times New Roman"/>
                <w:b/>
                <w:bCs/>
                <w:szCs w:val="21"/>
              </w:rPr>
            </w:pPr>
            <w:r>
              <w:rPr>
                <w:rFonts w:ascii="Times New Roman" w:eastAsia="宋体" w:hAnsi="Times New Roman" w:cs="Times New Roman"/>
                <w:b/>
                <w:bCs/>
                <w:szCs w:val="21"/>
              </w:rPr>
              <w:lastRenderedPageBreak/>
              <w:t>解除限售安排</w:t>
            </w:r>
          </w:p>
        </w:tc>
        <w:tc>
          <w:tcPr>
            <w:tcW w:w="5387" w:type="dxa"/>
            <w:tcBorders>
              <w:top w:val="single" w:sz="12" w:space="0" w:color="auto"/>
              <w:left w:val="nil"/>
              <w:bottom w:val="single" w:sz="6" w:space="0" w:color="000000"/>
              <w:right w:val="single" w:sz="4" w:space="0" w:color="000000"/>
            </w:tcBorders>
            <w:shd w:val="clear" w:color="auto" w:fill="BFBFBF"/>
            <w:vAlign w:val="center"/>
          </w:tcPr>
          <w:p w:rsidR="005F334F" w:rsidRDefault="00751F51" w:rsidP="00200DDC">
            <w:pPr>
              <w:jc w:val="center"/>
              <w:rPr>
                <w:rFonts w:ascii="Times New Roman" w:eastAsia="宋体" w:hAnsi="Times New Roman" w:cs="Times New Roman"/>
                <w:b/>
                <w:bCs/>
                <w:szCs w:val="21"/>
              </w:rPr>
            </w:pPr>
            <w:r>
              <w:rPr>
                <w:rFonts w:ascii="Times New Roman" w:eastAsia="宋体" w:hAnsi="Times New Roman" w:cs="Times New Roman"/>
                <w:b/>
                <w:bCs/>
                <w:szCs w:val="21"/>
              </w:rPr>
              <w:t>解除限售时间</w:t>
            </w:r>
          </w:p>
        </w:tc>
        <w:tc>
          <w:tcPr>
            <w:tcW w:w="1559" w:type="dxa"/>
            <w:tcBorders>
              <w:top w:val="single" w:sz="12" w:space="0" w:color="auto"/>
              <w:left w:val="nil"/>
              <w:bottom w:val="single" w:sz="6" w:space="0" w:color="000000"/>
              <w:right w:val="single" w:sz="12" w:space="0" w:color="auto"/>
            </w:tcBorders>
            <w:shd w:val="clear" w:color="auto" w:fill="BFBFBF"/>
            <w:vAlign w:val="center"/>
          </w:tcPr>
          <w:p w:rsidR="005F334F" w:rsidRDefault="00751F51" w:rsidP="00200DDC">
            <w:pPr>
              <w:jc w:val="center"/>
              <w:rPr>
                <w:rFonts w:ascii="Times New Roman" w:eastAsia="宋体" w:hAnsi="Times New Roman" w:cs="Times New Roman"/>
                <w:b/>
                <w:bCs/>
                <w:szCs w:val="21"/>
              </w:rPr>
            </w:pPr>
            <w:r>
              <w:rPr>
                <w:rFonts w:ascii="Times New Roman" w:eastAsia="宋体" w:hAnsi="Times New Roman" w:cs="Times New Roman"/>
                <w:b/>
                <w:bCs/>
                <w:szCs w:val="21"/>
              </w:rPr>
              <w:t>解除限售比例</w:t>
            </w:r>
          </w:p>
        </w:tc>
      </w:tr>
      <w:tr w:rsidR="005F334F">
        <w:trPr>
          <w:trHeight w:val="634"/>
          <w:jc w:val="center"/>
        </w:trPr>
        <w:tc>
          <w:tcPr>
            <w:tcW w:w="1982" w:type="dxa"/>
            <w:tcBorders>
              <w:top w:val="single" w:sz="4" w:space="0" w:color="000000"/>
              <w:left w:val="single" w:sz="12" w:space="0" w:color="auto"/>
              <w:bottom w:val="single" w:sz="4" w:space="0" w:color="000000"/>
              <w:right w:val="single" w:sz="4" w:space="0" w:color="000000"/>
            </w:tcBorders>
            <w:vAlign w:val="center"/>
          </w:tcPr>
          <w:p w:rsidR="005F334F" w:rsidRDefault="00751F51" w:rsidP="00200DDC">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第</w:t>
            </w:r>
            <w:r>
              <w:rPr>
                <w:rFonts w:ascii="Times New Roman" w:eastAsia="宋体" w:hAnsi="Times New Roman" w:cs="宋体" w:hint="eastAsia"/>
                <w:color w:val="000000"/>
                <w:kern w:val="0"/>
                <w:szCs w:val="21"/>
              </w:rPr>
              <w:t>一</w:t>
            </w:r>
            <w:r>
              <w:rPr>
                <w:rFonts w:ascii="Times New Roman" w:eastAsia="宋体" w:hAnsi="Times New Roman" w:cs="Times New Roman"/>
                <w:color w:val="000000"/>
                <w:kern w:val="0"/>
                <w:szCs w:val="21"/>
              </w:rPr>
              <w:t>个解除限售期</w:t>
            </w:r>
          </w:p>
        </w:tc>
        <w:tc>
          <w:tcPr>
            <w:tcW w:w="5387" w:type="dxa"/>
            <w:tcBorders>
              <w:top w:val="single" w:sz="4" w:space="0" w:color="000000"/>
              <w:left w:val="nil"/>
              <w:bottom w:val="single" w:sz="4" w:space="0" w:color="000000"/>
              <w:right w:val="single" w:sz="4" w:space="0" w:color="000000"/>
            </w:tcBorders>
            <w:vAlign w:val="center"/>
          </w:tcPr>
          <w:p w:rsidR="005F334F" w:rsidRDefault="00751F51" w:rsidP="00200DDC">
            <w:pPr>
              <w:autoSpaceDE w:val="0"/>
              <w:autoSpaceDN w:val="0"/>
              <w:adjustRightInd w:val="0"/>
              <w:jc w:val="left"/>
              <w:rPr>
                <w:rFonts w:asciiTheme="minorEastAsia" w:hAnsiTheme="minorEastAsia" w:cs="Times New Roman"/>
                <w:szCs w:val="21"/>
              </w:rPr>
            </w:pPr>
            <w:r>
              <w:rPr>
                <w:rFonts w:asciiTheme="minorEastAsia" w:hAnsiTheme="minorEastAsia" w:cs="Times New Roman"/>
                <w:szCs w:val="21"/>
              </w:rPr>
              <w:t>自限制性股票授予登记完成之日起</w:t>
            </w:r>
            <w:r>
              <w:rPr>
                <w:rFonts w:asciiTheme="minorEastAsia" w:hAnsiTheme="minorEastAsia" w:cs="宋体" w:hint="eastAsia"/>
                <w:szCs w:val="21"/>
              </w:rPr>
              <w:t>12</w:t>
            </w:r>
            <w:r>
              <w:rPr>
                <w:rFonts w:asciiTheme="minorEastAsia" w:hAnsiTheme="minorEastAsia" w:cs="Times New Roman"/>
                <w:szCs w:val="21"/>
              </w:rPr>
              <w:t>个月后的首个交易日起至限制性股票授予登记完成之日起</w:t>
            </w:r>
            <w:r>
              <w:rPr>
                <w:rFonts w:asciiTheme="minorEastAsia" w:hAnsiTheme="minorEastAsia" w:cs="宋体" w:hint="eastAsia"/>
                <w:szCs w:val="21"/>
              </w:rPr>
              <w:t>24</w:t>
            </w:r>
            <w:r>
              <w:rPr>
                <w:rFonts w:asciiTheme="minorEastAsia" w:hAnsiTheme="minorEastAsia" w:cs="Times New Roman"/>
                <w:szCs w:val="21"/>
              </w:rPr>
              <w:t>个月内的最后一个交易日当日止</w:t>
            </w:r>
          </w:p>
        </w:tc>
        <w:tc>
          <w:tcPr>
            <w:tcW w:w="1559" w:type="dxa"/>
            <w:tcBorders>
              <w:top w:val="single" w:sz="4" w:space="0" w:color="000000"/>
              <w:left w:val="nil"/>
              <w:bottom w:val="single" w:sz="4" w:space="0" w:color="000000"/>
              <w:right w:val="single" w:sz="12" w:space="0" w:color="auto"/>
            </w:tcBorders>
            <w:vAlign w:val="center"/>
          </w:tcPr>
          <w:p w:rsidR="005F334F" w:rsidRDefault="00751F51" w:rsidP="00200DDC">
            <w:pPr>
              <w:autoSpaceDE w:val="0"/>
              <w:autoSpaceDN w:val="0"/>
              <w:adjustRightInd w:val="0"/>
              <w:jc w:val="center"/>
              <w:rPr>
                <w:rFonts w:asciiTheme="minorEastAsia" w:hAnsiTheme="minorEastAsia" w:cs="Times New Roman"/>
                <w:szCs w:val="21"/>
              </w:rPr>
            </w:pPr>
            <w:r>
              <w:rPr>
                <w:rFonts w:asciiTheme="minorEastAsia" w:hAnsiTheme="minorEastAsia" w:cs="Times New Roman"/>
                <w:szCs w:val="21"/>
              </w:rPr>
              <w:t>30%</w:t>
            </w:r>
          </w:p>
        </w:tc>
      </w:tr>
      <w:tr w:rsidR="005F334F">
        <w:trPr>
          <w:trHeight w:val="744"/>
          <w:jc w:val="center"/>
        </w:trPr>
        <w:tc>
          <w:tcPr>
            <w:tcW w:w="1982" w:type="dxa"/>
            <w:tcBorders>
              <w:top w:val="single" w:sz="4" w:space="0" w:color="000000"/>
              <w:left w:val="single" w:sz="12" w:space="0" w:color="auto"/>
              <w:bottom w:val="single" w:sz="4" w:space="0" w:color="000000"/>
              <w:right w:val="single" w:sz="4" w:space="0" w:color="000000"/>
            </w:tcBorders>
            <w:vAlign w:val="center"/>
          </w:tcPr>
          <w:p w:rsidR="005F334F" w:rsidRDefault="00751F51" w:rsidP="00200DDC">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第</w:t>
            </w:r>
            <w:r>
              <w:rPr>
                <w:rFonts w:ascii="Times New Roman" w:eastAsia="宋体" w:hAnsi="Times New Roman" w:cs="宋体" w:hint="eastAsia"/>
                <w:color w:val="000000"/>
                <w:kern w:val="0"/>
                <w:szCs w:val="21"/>
              </w:rPr>
              <w:t>二</w:t>
            </w:r>
            <w:r>
              <w:rPr>
                <w:rFonts w:ascii="Times New Roman" w:eastAsia="宋体" w:hAnsi="Times New Roman" w:cs="Times New Roman"/>
                <w:color w:val="000000"/>
                <w:kern w:val="0"/>
                <w:szCs w:val="21"/>
              </w:rPr>
              <w:t>个解除限售期</w:t>
            </w:r>
          </w:p>
        </w:tc>
        <w:tc>
          <w:tcPr>
            <w:tcW w:w="5387" w:type="dxa"/>
            <w:tcBorders>
              <w:top w:val="single" w:sz="4" w:space="0" w:color="000000"/>
              <w:left w:val="nil"/>
              <w:bottom w:val="single" w:sz="4" w:space="0" w:color="000000"/>
              <w:right w:val="single" w:sz="4" w:space="0" w:color="000000"/>
            </w:tcBorders>
            <w:vAlign w:val="center"/>
          </w:tcPr>
          <w:p w:rsidR="005F334F" w:rsidRDefault="00751F51" w:rsidP="00200DDC">
            <w:pPr>
              <w:autoSpaceDE w:val="0"/>
              <w:autoSpaceDN w:val="0"/>
              <w:adjustRightInd w:val="0"/>
              <w:jc w:val="left"/>
              <w:rPr>
                <w:rFonts w:asciiTheme="minorEastAsia" w:hAnsiTheme="minorEastAsia" w:cs="Times New Roman"/>
                <w:szCs w:val="21"/>
              </w:rPr>
            </w:pPr>
            <w:r>
              <w:rPr>
                <w:rFonts w:asciiTheme="minorEastAsia" w:hAnsiTheme="minorEastAsia" w:cs="Times New Roman"/>
                <w:szCs w:val="21"/>
              </w:rPr>
              <w:t>自限制性股票授予登记完成之日起24个月后的首个交易日起至限制性股票授予登记完成之日起36个月内的最后一个交易日当日止</w:t>
            </w:r>
          </w:p>
        </w:tc>
        <w:tc>
          <w:tcPr>
            <w:tcW w:w="1559" w:type="dxa"/>
            <w:tcBorders>
              <w:top w:val="single" w:sz="4" w:space="0" w:color="000000"/>
              <w:left w:val="nil"/>
              <w:bottom w:val="single" w:sz="4" w:space="0" w:color="000000"/>
              <w:right w:val="single" w:sz="12" w:space="0" w:color="auto"/>
            </w:tcBorders>
            <w:vAlign w:val="center"/>
          </w:tcPr>
          <w:p w:rsidR="005F334F" w:rsidRDefault="00751F51" w:rsidP="00200DDC">
            <w:pPr>
              <w:autoSpaceDE w:val="0"/>
              <w:autoSpaceDN w:val="0"/>
              <w:adjustRightInd w:val="0"/>
              <w:jc w:val="center"/>
              <w:rPr>
                <w:rFonts w:asciiTheme="minorEastAsia" w:hAnsiTheme="minorEastAsia" w:cs="Times New Roman"/>
                <w:szCs w:val="21"/>
              </w:rPr>
            </w:pPr>
            <w:r>
              <w:rPr>
                <w:rFonts w:asciiTheme="minorEastAsia" w:hAnsiTheme="minorEastAsia" w:cs="Times New Roman"/>
                <w:szCs w:val="21"/>
              </w:rPr>
              <w:t>30%</w:t>
            </w:r>
          </w:p>
        </w:tc>
      </w:tr>
      <w:tr w:rsidR="005F334F">
        <w:trPr>
          <w:trHeight w:val="744"/>
          <w:jc w:val="center"/>
        </w:trPr>
        <w:tc>
          <w:tcPr>
            <w:tcW w:w="1982" w:type="dxa"/>
            <w:tcBorders>
              <w:top w:val="single" w:sz="4" w:space="0" w:color="000000"/>
              <w:left w:val="single" w:sz="12" w:space="0" w:color="auto"/>
              <w:bottom w:val="single" w:sz="12" w:space="0" w:color="auto"/>
              <w:right w:val="single" w:sz="4" w:space="0" w:color="000000"/>
            </w:tcBorders>
            <w:vAlign w:val="center"/>
          </w:tcPr>
          <w:p w:rsidR="005F334F" w:rsidRDefault="00751F51" w:rsidP="00200DDC">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第三个解除限售期</w:t>
            </w:r>
          </w:p>
        </w:tc>
        <w:tc>
          <w:tcPr>
            <w:tcW w:w="5387" w:type="dxa"/>
            <w:tcBorders>
              <w:top w:val="single" w:sz="4" w:space="0" w:color="000000"/>
              <w:left w:val="nil"/>
              <w:bottom w:val="single" w:sz="12" w:space="0" w:color="auto"/>
              <w:right w:val="single" w:sz="4" w:space="0" w:color="000000"/>
            </w:tcBorders>
            <w:vAlign w:val="center"/>
          </w:tcPr>
          <w:p w:rsidR="005F334F" w:rsidRDefault="00751F51" w:rsidP="00200DDC">
            <w:pPr>
              <w:autoSpaceDE w:val="0"/>
              <w:autoSpaceDN w:val="0"/>
              <w:adjustRightInd w:val="0"/>
              <w:jc w:val="left"/>
              <w:rPr>
                <w:rFonts w:asciiTheme="minorEastAsia" w:hAnsiTheme="minorEastAsia" w:cs="Times New Roman"/>
                <w:szCs w:val="21"/>
              </w:rPr>
            </w:pPr>
            <w:r>
              <w:rPr>
                <w:rFonts w:asciiTheme="minorEastAsia" w:hAnsiTheme="minorEastAsia" w:cs="Times New Roman"/>
                <w:szCs w:val="21"/>
              </w:rPr>
              <w:t>自限制性股票授予登记完成之日起36个月后的首个交易日起至限制性股票授予登记完成之日起48个月内的最后一个交易日当日止</w:t>
            </w:r>
          </w:p>
        </w:tc>
        <w:tc>
          <w:tcPr>
            <w:tcW w:w="1559" w:type="dxa"/>
            <w:tcBorders>
              <w:top w:val="single" w:sz="4" w:space="0" w:color="000000"/>
              <w:left w:val="nil"/>
              <w:bottom w:val="single" w:sz="12" w:space="0" w:color="auto"/>
              <w:right w:val="single" w:sz="12" w:space="0" w:color="auto"/>
            </w:tcBorders>
            <w:vAlign w:val="center"/>
          </w:tcPr>
          <w:p w:rsidR="005F334F" w:rsidRDefault="00751F51" w:rsidP="00200DDC">
            <w:pPr>
              <w:autoSpaceDE w:val="0"/>
              <w:autoSpaceDN w:val="0"/>
              <w:adjustRightInd w:val="0"/>
              <w:jc w:val="center"/>
              <w:rPr>
                <w:rFonts w:asciiTheme="minorEastAsia" w:hAnsiTheme="minorEastAsia" w:cs="宋体"/>
                <w:szCs w:val="21"/>
              </w:rPr>
            </w:pPr>
            <w:r>
              <w:rPr>
                <w:rFonts w:asciiTheme="minorEastAsia" w:hAnsiTheme="minorEastAsia" w:cs="Times New Roman"/>
                <w:szCs w:val="21"/>
              </w:rPr>
              <w:t>40%</w:t>
            </w:r>
          </w:p>
        </w:tc>
      </w:tr>
    </w:tbl>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在上述约定期间内未申请解除限售的限制性股票或因未达到解除限售条件而不能申请解除限售的该期限制性股票，公司将按本计划规定的原则回购并注销激励对象相应尚未解除限售的限制性股票。</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激励</w:t>
      </w:r>
      <w:proofErr w:type="gramStart"/>
      <w:r>
        <w:rPr>
          <w:rFonts w:asciiTheme="minorEastAsia" w:hAnsiTheme="minorEastAsia" w:hint="eastAsia"/>
          <w:sz w:val="24"/>
        </w:rPr>
        <w:t>对象获</w:t>
      </w:r>
      <w:proofErr w:type="gramEnd"/>
      <w:r>
        <w:rPr>
          <w:rFonts w:asciiTheme="minorEastAsia" w:hAnsiTheme="minorEastAsia" w:hint="eastAsia"/>
          <w:sz w:val="24"/>
        </w:rPr>
        <w:t>授的限制性股票由于资本公积金转增股本、股票红利、股票拆细而取得的股份同时限售，不得在二级市场出售或以其他方式转让，该等股份的解除限售期与限制性股票解除限售期相同。若届时限制性股票回购注销的，则因前述原因获得的股份同时回购注销。</w:t>
      </w:r>
    </w:p>
    <w:p w:rsidR="005F334F" w:rsidRDefault="00751F51">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（3）限制性股票的解除限售条件</w:t>
      </w:r>
    </w:p>
    <w:p w:rsidR="005F334F" w:rsidRDefault="00EE2178">
      <w:pPr>
        <w:spacing w:line="360" w:lineRule="auto"/>
        <w:ind w:right="-153" w:firstLineChars="200" w:firstLine="480"/>
        <w:jc w:val="left"/>
        <w:rPr>
          <w:rFonts w:ascii="Times New Roman" w:eastAsia="宋体" w:hAnsi="Times New Roman" w:cs="Times New Roman"/>
          <w:sz w:val="24"/>
          <w:szCs w:val="24"/>
        </w:rPr>
      </w:pPr>
      <w:r>
        <w:rPr>
          <w:rFonts w:ascii="宋体" w:eastAsia="宋体" w:hAnsi="宋体" w:cs="Times New Roman" w:hint="eastAsia"/>
          <w:sz w:val="24"/>
          <w:szCs w:val="24"/>
        </w:rPr>
        <w:t>1</w:t>
      </w:r>
      <w:r w:rsidR="00751F51">
        <w:rPr>
          <w:rFonts w:ascii="宋体" w:eastAsia="宋体" w:hAnsi="宋体" w:cs="Times New Roman"/>
          <w:sz w:val="24"/>
          <w:szCs w:val="24"/>
        </w:rPr>
        <w:t>）公司层面业绩考核要求</w:t>
      </w:r>
    </w:p>
    <w:p w:rsidR="005F334F" w:rsidRDefault="00751F51">
      <w:pPr>
        <w:spacing w:line="360" w:lineRule="auto"/>
        <w:ind w:right="-153" w:firstLineChars="200" w:firstLine="480"/>
        <w:jc w:val="left"/>
        <w:rPr>
          <w:rFonts w:asciiTheme="minorEastAsia" w:hAnsiTheme="minorEastAsia" w:cs="Times New Roman"/>
          <w:sz w:val="24"/>
          <w:szCs w:val="24"/>
        </w:rPr>
      </w:pPr>
      <w:r>
        <w:rPr>
          <w:rFonts w:asciiTheme="minorEastAsia" w:hAnsiTheme="minorEastAsia" w:cs="Times New Roman"/>
          <w:sz w:val="24"/>
          <w:szCs w:val="24"/>
        </w:rPr>
        <w:t>本激励计划的解除限售考核年度为20</w:t>
      </w:r>
      <w:r>
        <w:rPr>
          <w:rFonts w:asciiTheme="minorEastAsia" w:hAnsiTheme="minorEastAsia" w:cs="宋体" w:hint="eastAsia"/>
          <w:sz w:val="24"/>
          <w:szCs w:val="24"/>
        </w:rPr>
        <w:t>20</w:t>
      </w:r>
      <w:r>
        <w:rPr>
          <w:rFonts w:asciiTheme="minorEastAsia" w:hAnsiTheme="minorEastAsia" w:cs="Times New Roman"/>
          <w:sz w:val="24"/>
          <w:szCs w:val="24"/>
        </w:rPr>
        <w:t>年度</w:t>
      </w:r>
      <w:r>
        <w:rPr>
          <w:rFonts w:asciiTheme="minorEastAsia" w:hAnsiTheme="minorEastAsia" w:cs="宋体" w:hint="eastAsia"/>
          <w:sz w:val="24"/>
          <w:szCs w:val="24"/>
        </w:rPr>
        <w:t>、</w:t>
      </w:r>
      <w:r>
        <w:rPr>
          <w:rFonts w:asciiTheme="minorEastAsia" w:hAnsiTheme="minorEastAsia" w:cs="Times New Roman"/>
          <w:sz w:val="24"/>
          <w:szCs w:val="24"/>
        </w:rPr>
        <w:t>20</w:t>
      </w:r>
      <w:r>
        <w:rPr>
          <w:rFonts w:asciiTheme="minorEastAsia" w:hAnsiTheme="minorEastAsia" w:cs="宋体" w:hint="eastAsia"/>
          <w:sz w:val="24"/>
          <w:szCs w:val="24"/>
        </w:rPr>
        <w:t>21</w:t>
      </w:r>
      <w:r>
        <w:rPr>
          <w:rFonts w:asciiTheme="minorEastAsia" w:hAnsiTheme="minorEastAsia" w:cs="Times New Roman"/>
          <w:sz w:val="24"/>
          <w:szCs w:val="24"/>
        </w:rPr>
        <w:t>年度和2022年度三个会计年度，每个会计年度考核一次，各年度业绩考核目标如下表所示：</w:t>
      </w:r>
    </w:p>
    <w:tbl>
      <w:tblPr>
        <w:tblW w:w="892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011"/>
        <w:gridCol w:w="6915"/>
      </w:tblGrid>
      <w:tr w:rsidR="005F334F">
        <w:trPr>
          <w:trHeight w:val="522"/>
          <w:jc w:val="center"/>
        </w:trPr>
        <w:tc>
          <w:tcPr>
            <w:tcW w:w="2011" w:type="dxa"/>
            <w:tcBorders>
              <w:top w:val="single" w:sz="12" w:space="0" w:color="000000"/>
              <w:left w:val="single" w:sz="12" w:space="0" w:color="000000"/>
              <w:bottom w:val="single" w:sz="6" w:space="0" w:color="000000"/>
              <w:right w:val="single" w:sz="6" w:space="0" w:color="000000"/>
            </w:tcBorders>
            <w:shd w:val="clear" w:color="auto" w:fill="D9D9D9"/>
            <w:vAlign w:val="center"/>
          </w:tcPr>
          <w:p w:rsidR="005F334F" w:rsidRDefault="00751F51">
            <w:pPr>
              <w:autoSpaceDE w:val="0"/>
              <w:autoSpaceDN w:val="0"/>
              <w:adjustRightInd w:val="0"/>
              <w:spacing w:line="273" w:lineRule="auto"/>
              <w:jc w:val="center"/>
              <w:rPr>
                <w:rFonts w:ascii="Times New Roman" w:eastAsia="宋体" w:hAnsi="Times New Roman" w:cs="Times New Roman"/>
                <w:b/>
                <w:bCs/>
                <w:szCs w:val="21"/>
              </w:rPr>
            </w:pPr>
            <w:bookmarkStart w:id="0" w:name="_Hlk532303426"/>
            <w:r>
              <w:rPr>
                <w:rFonts w:ascii="Times New Roman" w:eastAsia="宋体" w:hAnsi="Times New Roman" w:cs="Times New Roman"/>
                <w:b/>
                <w:bCs/>
                <w:szCs w:val="21"/>
              </w:rPr>
              <w:t>解除限售期</w:t>
            </w:r>
            <w:bookmarkEnd w:id="0"/>
          </w:p>
        </w:tc>
        <w:tc>
          <w:tcPr>
            <w:tcW w:w="6915" w:type="dxa"/>
            <w:tcBorders>
              <w:top w:val="single" w:sz="12" w:space="0" w:color="000000"/>
              <w:left w:val="single" w:sz="6" w:space="0" w:color="000000"/>
              <w:bottom w:val="single" w:sz="6" w:space="0" w:color="000000"/>
              <w:right w:val="single" w:sz="12" w:space="0" w:color="000000"/>
            </w:tcBorders>
            <w:shd w:val="clear" w:color="auto" w:fill="D9D9D9"/>
            <w:vAlign w:val="center"/>
          </w:tcPr>
          <w:p w:rsidR="005F334F" w:rsidRDefault="00751F51">
            <w:pPr>
              <w:autoSpaceDE w:val="0"/>
              <w:autoSpaceDN w:val="0"/>
              <w:adjustRightInd w:val="0"/>
              <w:spacing w:line="273" w:lineRule="auto"/>
              <w:jc w:val="center"/>
              <w:rPr>
                <w:rFonts w:ascii="Times New Roman" w:eastAsia="宋体" w:hAnsi="Times New Roman" w:cs="Times New Roman"/>
                <w:b/>
                <w:bCs/>
                <w:szCs w:val="21"/>
              </w:rPr>
            </w:pPr>
            <w:r>
              <w:rPr>
                <w:rFonts w:ascii="Times New Roman" w:eastAsia="宋体" w:hAnsi="Times New Roman" w:cs="Times New Roman"/>
                <w:b/>
                <w:bCs/>
                <w:szCs w:val="21"/>
              </w:rPr>
              <w:t>业绩考核目标</w:t>
            </w:r>
          </w:p>
        </w:tc>
      </w:tr>
      <w:tr w:rsidR="005F334F">
        <w:trPr>
          <w:trHeight w:val="518"/>
          <w:jc w:val="center"/>
        </w:trPr>
        <w:tc>
          <w:tcPr>
            <w:tcW w:w="2011" w:type="dxa"/>
            <w:tcBorders>
              <w:top w:val="single" w:sz="6" w:space="0" w:color="000000"/>
              <w:left w:val="single" w:sz="12" w:space="0" w:color="000000"/>
              <w:bottom w:val="single" w:sz="6" w:space="0" w:color="000000"/>
              <w:right w:val="single" w:sz="6" w:space="0" w:color="000000"/>
            </w:tcBorders>
            <w:vAlign w:val="center"/>
          </w:tcPr>
          <w:p w:rsidR="005F334F" w:rsidRDefault="00751F51">
            <w:pPr>
              <w:autoSpaceDE w:val="0"/>
              <w:autoSpaceDN w:val="0"/>
              <w:adjustRightInd w:val="0"/>
              <w:spacing w:line="273"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第一个解除限售期</w:t>
            </w:r>
          </w:p>
        </w:tc>
        <w:tc>
          <w:tcPr>
            <w:tcW w:w="6915" w:type="dxa"/>
            <w:tcBorders>
              <w:top w:val="single" w:sz="6" w:space="0" w:color="000000"/>
              <w:left w:val="single" w:sz="6" w:space="0" w:color="000000"/>
              <w:bottom w:val="single" w:sz="6" w:space="0" w:color="000000"/>
              <w:right w:val="single" w:sz="12" w:space="0" w:color="000000"/>
            </w:tcBorders>
            <w:vAlign w:val="center"/>
          </w:tcPr>
          <w:p w:rsidR="005F334F" w:rsidRDefault="00751F51">
            <w:pPr>
              <w:autoSpaceDE w:val="0"/>
              <w:autoSpaceDN w:val="0"/>
              <w:adjustRightInd w:val="0"/>
              <w:spacing w:line="273" w:lineRule="auto"/>
              <w:jc w:val="left"/>
              <w:rPr>
                <w:rFonts w:asciiTheme="minorEastAsia" w:hAnsiTheme="minorEastAsia" w:cs="宋体"/>
                <w:szCs w:val="21"/>
              </w:rPr>
            </w:pPr>
            <w:r>
              <w:rPr>
                <w:rFonts w:asciiTheme="minorEastAsia" w:hAnsiTheme="minorEastAsia" w:cs="宋体" w:hint="eastAsia"/>
                <w:szCs w:val="21"/>
              </w:rPr>
              <w:t>公司需满足下列条件：</w:t>
            </w:r>
          </w:p>
          <w:p w:rsidR="005F334F" w:rsidRDefault="00751F51">
            <w:pPr>
              <w:autoSpaceDE w:val="0"/>
              <w:autoSpaceDN w:val="0"/>
              <w:adjustRightInd w:val="0"/>
              <w:spacing w:line="273" w:lineRule="auto"/>
              <w:jc w:val="left"/>
              <w:rPr>
                <w:rFonts w:asciiTheme="minorEastAsia" w:hAnsiTheme="minorEastAsia" w:cs="宋体"/>
                <w:szCs w:val="21"/>
              </w:rPr>
            </w:pPr>
            <w:r>
              <w:rPr>
                <w:rFonts w:asciiTheme="minorEastAsia" w:hAnsiTheme="minorEastAsia" w:cs="Times New Roman"/>
                <w:szCs w:val="21"/>
              </w:rPr>
              <w:t>以201</w:t>
            </w:r>
            <w:r>
              <w:rPr>
                <w:rFonts w:asciiTheme="minorEastAsia" w:hAnsiTheme="minorEastAsia" w:cs="宋体" w:hint="eastAsia"/>
                <w:szCs w:val="21"/>
              </w:rPr>
              <w:t>9</w:t>
            </w:r>
            <w:r>
              <w:rPr>
                <w:rFonts w:asciiTheme="minorEastAsia" w:hAnsiTheme="minorEastAsia" w:cs="Times New Roman"/>
                <w:szCs w:val="21"/>
              </w:rPr>
              <w:t>年</w:t>
            </w:r>
            <w:r>
              <w:rPr>
                <w:rFonts w:asciiTheme="minorEastAsia" w:hAnsiTheme="minorEastAsia" w:cs="宋体" w:hint="eastAsia"/>
                <w:szCs w:val="21"/>
              </w:rPr>
              <w:t>营业收入</w:t>
            </w:r>
            <w:r>
              <w:rPr>
                <w:rFonts w:asciiTheme="minorEastAsia" w:hAnsiTheme="minorEastAsia" w:cs="Times New Roman"/>
                <w:szCs w:val="21"/>
              </w:rPr>
              <w:t>为基准，20</w:t>
            </w:r>
            <w:r>
              <w:rPr>
                <w:rFonts w:asciiTheme="minorEastAsia" w:hAnsiTheme="minorEastAsia" w:cs="宋体" w:hint="eastAsia"/>
                <w:szCs w:val="21"/>
              </w:rPr>
              <w:t>20</w:t>
            </w:r>
            <w:r>
              <w:rPr>
                <w:rFonts w:asciiTheme="minorEastAsia" w:hAnsiTheme="minorEastAsia" w:cs="Times New Roman"/>
                <w:szCs w:val="21"/>
              </w:rPr>
              <w:t>年</w:t>
            </w:r>
            <w:r>
              <w:rPr>
                <w:rFonts w:asciiTheme="minorEastAsia" w:hAnsiTheme="minorEastAsia" w:cs="宋体" w:hint="eastAsia"/>
                <w:szCs w:val="21"/>
              </w:rPr>
              <w:t>营业收入增长率</w:t>
            </w:r>
            <w:r>
              <w:rPr>
                <w:rFonts w:asciiTheme="minorEastAsia" w:hAnsiTheme="minorEastAsia" w:cs="Times New Roman"/>
                <w:szCs w:val="21"/>
              </w:rPr>
              <w:t>不低于5%</w:t>
            </w:r>
          </w:p>
        </w:tc>
      </w:tr>
      <w:tr w:rsidR="005F334F">
        <w:trPr>
          <w:trHeight w:val="553"/>
          <w:jc w:val="center"/>
        </w:trPr>
        <w:tc>
          <w:tcPr>
            <w:tcW w:w="2011" w:type="dxa"/>
            <w:tcBorders>
              <w:top w:val="single" w:sz="6" w:space="0" w:color="000000"/>
              <w:left w:val="single" w:sz="12" w:space="0" w:color="000000"/>
              <w:bottom w:val="single" w:sz="6" w:space="0" w:color="000000"/>
              <w:right w:val="single" w:sz="6" w:space="0" w:color="000000"/>
            </w:tcBorders>
            <w:vAlign w:val="center"/>
          </w:tcPr>
          <w:p w:rsidR="005F334F" w:rsidRDefault="00751F51">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宋体" w:hint="eastAsia"/>
                <w:szCs w:val="21"/>
              </w:rPr>
              <w:t>二</w:t>
            </w:r>
            <w:r>
              <w:rPr>
                <w:rFonts w:ascii="Times New Roman" w:eastAsia="宋体" w:hAnsi="Times New Roman" w:cs="Times New Roman"/>
                <w:szCs w:val="21"/>
              </w:rPr>
              <w:t>个解除限售期</w:t>
            </w:r>
          </w:p>
        </w:tc>
        <w:tc>
          <w:tcPr>
            <w:tcW w:w="6915" w:type="dxa"/>
            <w:tcBorders>
              <w:top w:val="single" w:sz="6" w:space="0" w:color="000000"/>
              <w:left w:val="single" w:sz="6" w:space="0" w:color="000000"/>
              <w:bottom w:val="single" w:sz="6" w:space="0" w:color="000000"/>
              <w:right w:val="single" w:sz="12" w:space="0" w:color="000000"/>
            </w:tcBorders>
            <w:vAlign w:val="center"/>
          </w:tcPr>
          <w:p w:rsidR="005F334F" w:rsidRDefault="00751F51">
            <w:pPr>
              <w:autoSpaceDE w:val="0"/>
              <w:autoSpaceDN w:val="0"/>
              <w:adjustRightInd w:val="0"/>
              <w:spacing w:line="273" w:lineRule="auto"/>
              <w:jc w:val="left"/>
              <w:rPr>
                <w:rFonts w:asciiTheme="minorEastAsia" w:hAnsiTheme="minorEastAsia" w:cs="宋体"/>
                <w:szCs w:val="21"/>
              </w:rPr>
            </w:pPr>
            <w:r>
              <w:rPr>
                <w:rFonts w:asciiTheme="minorEastAsia" w:hAnsiTheme="minorEastAsia" w:cs="宋体" w:hint="eastAsia"/>
                <w:szCs w:val="21"/>
              </w:rPr>
              <w:t>公司需满足下列条件：</w:t>
            </w:r>
          </w:p>
          <w:p w:rsidR="005F334F" w:rsidRDefault="00751F51">
            <w:pPr>
              <w:autoSpaceDE w:val="0"/>
              <w:autoSpaceDN w:val="0"/>
              <w:adjustRightInd w:val="0"/>
              <w:spacing w:line="360" w:lineRule="auto"/>
              <w:jc w:val="left"/>
              <w:rPr>
                <w:rFonts w:asciiTheme="minorEastAsia" w:hAnsiTheme="minorEastAsia" w:cs="Times New Roman"/>
                <w:szCs w:val="21"/>
              </w:rPr>
            </w:pPr>
            <w:r>
              <w:rPr>
                <w:rFonts w:asciiTheme="minorEastAsia" w:hAnsiTheme="minorEastAsia" w:cs="Times New Roman"/>
                <w:szCs w:val="21"/>
              </w:rPr>
              <w:t>以201</w:t>
            </w:r>
            <w:r>
              <w:rPr>
                <w:rFonts w:asciiTheme="minorEastAsia" w:hAnsiTheme="minorEastAsia" w:cs="宋体" w:hint="eastAsia"/>
                <w:szCs w:val="21"/>
              </w:rPr>
              <w:t>9</w:t>
            </w:r>
            <w:r>
              <w:rPr>
                <w:rFonts w:asciiTheme="minorEastAsia" w:hAnsiTheme="minorEastAsia" w:cs="Times New Roman"/>
                <w:szCs w:val="21"/>
              </w:rPr>
              <w:t>年</w:t>
            </w:r>
            <w:r>
              <w:rPr>
                <w:rFonts w:asciiTheme="minorEastAsia" w:hAnsiTheme="minorEastAsia" w:cs="宋体" w:hint="eastAsia"/>
                <w:szCs w:val="21"/>
              </w:rPr>
              <w:t>营业收入</w:t>
            </w:r>
            <w:r>
              <w:rPr>
                <w:rFonts w:asciiTheme="minorEastAsia" w:hAnsiTheme="minorEastAsia" w:cs="Times New Roman"/>
                <w:szCs w:val="21"/>
              </w:rPr>
              <w:t>为基准，20</w:t>
            </w:r>
            <w:r>
              <w:rPr>
                <w:rFonts w:asciiTheme="minorEastAsia" w:hAnsiTheme="minorEastAsia" w:cs="宋体" w:hint="eastAsia"/>
                <w:szCs w:val="21"/>
              </w:rPr>
              <w:t>21</w:t>
            </w:r>
            <w:r>
              <w:rPr>
                <w:rFonts w:asciiTheme="minorEastAsia" w:hAnsiTheme="minorEastAsia" w:cs="Times New Roman"/>
                <w:szCs w:val="21"/>
              </w:rPr>
              <w:t>年</w:t>
            </w:r>
            <w:r>
              <w:rPr>
                <w:rFonts w:asciiTheme="minorEastAsia" w:hAnsiTheme="minorEastAsia" w:cs="宋体" w:hint="eastAsia"/>
                <w:szCs w:val="21"/>
              </w:rPr>
              <w:t>营业收入增长率</w:t>
            </w:r>
            <w:r>
              <w:rPr>
                <w:rFonts w:asciiTheme="minorEastAsia" w:hAnsiTheme="minorEastAsia" w:cs="Times New Roman"/>
                <w:szCs w:val="21"/>
              </w:rPr>
              <w:t>不低于15%</w:t>
            </w:r>
            <w:r>
              <w:rPr>
                <w:rFonts w:asciiTheme="minorEastAsia" w:hAnsiTheme="minorEastAsia" w:cs="宋体" w:hint="eastAsia"/>
                <w:szCs w:val="21"/>
              </w:rPr>
              <w:t>。</w:t>
            </w:r>
          </w:p>
        </w:tc>
      </w:tr>
      <w:tr w:rsidR="005F334F">
        <w:trPr>
          <w:trHeight w:val="553"/>
          <w:jc w:val="center"/>
        </w:trPr>
        <w:tc>
          <w:tcPr>
            <w:tcW w:w="2011" w:type="dxa"/>
            <w:tcBorders>
              <w:top w:val="single" w:sz="6" w:space="0" w:color="000000"/>
              <w:left w:val="single" w:sz="12" w:space="0" w:color="000000"/>
              <w:bottom w:val="single" w:sz="12" w:space="0" w:color="000000"/>
              <w:right w:val="single" w:sz="6" w:space="0" w:color="000000"/>
            </w:tcBorders>
            <w:vAlign w:val="center"/>
          </w:tcPr>
          <w:p w:rsidR="005F334F" w:rsidRDefault="00751F51">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szCs w:val="21"/>
              </w:rPr>
              <w:t>第三个解除限售期</w:t>
            </w:r>
          </w:p>
        </w:tc>
        <w:tc>
          <w:tcPr>
            <w:tcW w:w="6915" w:type="dxa"/>
            <w:tcBorders>
              <w:top w:val="single" w:sz="6" w:space="0" w:color="000000"/>
              <w:left w:val="single" w:sz="6" w:space="0" w:color="000000"/>
              <w:bottom w:val="single" w:sz="12" w:space="0" w:color="000000"/>
              <w:right w:val="single" w:sz="12" w:space="0" w:color="000000"/>
            </w:tcBorders>
            <w:vAlign w:val="center"/>
          </w:tcPr>
          <w:p w:rsidR="005F334F" w:rsidRDefault="00751F51">
            <w:pPr>
              <w:autoSpaceDE w:val="0"/>
              <w:autoSpaceDN w:val="0"/>
              <w:adjustRightInd w:val="0"/>
              <w:spacing w:line="273" w:lineRule="auto"/>
              <w:jc w:val="left"/>
              <w:rPr>
                <w:rFonts w:asciiTheme="minorEastAsia" w:hAnsiTheme="minorEastAsia" w:cs="宋体"/>
                <w:szCs w:val="21"/>
              </w:rPr>
            </w:pPr>
            <w:r>
              <w:rPr>
                <w:rFonts w:asciiTheme="minorEastAsia" w:hAnsiTheme="minorEastAsia" w:cs="宋体" w:hint="eastAsia"/>
                <w:szCs w:val="21"/>
              </w:rPr>
              <w:t>公司需满足下列条件：</w:t>
            </w:r>
          </w:p>
          <w:p w:rsidR="005F334F" w:rsidRDefault="00751F51">
            <w:pPr>
              <w:autoSpaceDE w:val="0"/>
              <w:autoSpaceDN w:val="0"/>
              <w:adjustRightInd w:val="0"/>
              <w:spacing w:line="360" w:lineRule="auto"/>
              <w:jc w:val="left"/>
              <w:rPr>
                <w:rFonts w:asciiTheme="minorEastAsia" w:hAnsiTheme="minorEastAsia" w:cs="Times New Roman"/>
                <w:szCs w:val="21"/>
              </w:rPr>
            </w:pPr>
            <w:r>
              <w:rPr>
                <w:rFonts w:asciiTheme="minorEastAsia" w:hAnsiTheme="minorEastAsia" w:cs="Times New Roman"/>
                <w:szCs w:val="21"/>
              </w:rPr>
              <w:t>以201</w:t>
            </w:r>
            <w:r>
              <w:rPr>
                <w:rFonts w:asciiTheme="minorEastAsia" w:hAnsiTheme="minorEastAsia" w:cs="宋体" w:hint="eastAsia"/>
                <w:szCs w:val="21"/>
              </w:rPr>
              <w:t>9</w:t>
            </w:r>
            <w:r>
              <w:rPr>
                <w:rFonts w:asciiTheme="minorEastAsia" w:hAnsiTheme="minorEastAsia" w:cs="Times New Roman"/>
                <w:szCs w:val="21"/>
              </w:rPr>
              <w:t>年</w:t>
            </w:r>
            <w:r>
              <w:rPr>
                <w:rFonts w:asciiTheme="minorEastAsia" w:hAnsiTheme="minorEastAsia" w:cs="宋体" w:hint="eastAsia"/>
                <w:szCs w:val="21"/>
              </w:rPr>
              <w:t>营业收入</w:t>
            </w:r>
            <w:r>
              <w:rPr>
                <w:rFonts w:asciiTheme="minorEastAsia" w:hAnsiTheme="minorEastAsia" w:cs="Times New Roman"/>
                <w:szCs w:val="21"/>
              </w:rPr>
              <w:t>为基准，20</w:t>
            </w:r>
            <w:r>
              <w:rPr>
                <w:rFonts w:asciiTheme="minorEastAsia" w:hAnsiTheme="minorEastAsia" w:cs="宋体" w:hint="eastAsia"/>
                <w:szCs w:val="21"/>
              </w:rPr>
              <w:t>2</w:t>
            </w:r>
            <w:r>
              <w:rPr>
                <w:rFonts w:asciiTheme="minorEastAsia" w:hAnsiTheme="minorEastAsia" w:cs="Times New Roman"/>
                <w:szCs w:val="21"/>
              </w:rPr>
              <w:t>2年</w:t>
            </w:r>
            <w:r>
              <w:rPr>
                <w:rFonts w:asciiTheme="minorEastAsia" w:hAnsiTheme="minorEastAsia" w:cs="宋体" w:hint="eastAsia"/>
                <w:szCs w:val="21"/>
              </w:rPr>
              <w:t>营业收入增长率</w:t>
            </w:r>
            <w:r>
              <w:rPr>
                <w:rFonts w:asciiTheme="minorEastAsia" w:hAnsiTheme="minorEastAsia" w:cs="Times New Roman"/>
                <w:szCs w:val="21"/>
              </w:rPr>
              <w:t>不低于30%</w:t>
            </w:r>
            <w:r>
              <w:rPr>
                <w:rFonts w:asciiTheme="minorEastAsia" w:hAnsiTheme="minorEastAsia" w:cs="宋体" w:hint="eastAsia"/>
                <w:szCs w:val="21"/>
              </w:rPr>
              <w:t>。</w:t>
            </w:r>
          </w:p>
        </w:tc>
      </w:tr>
    </w:tbl>
    <w:p w:rsidR="005F334F" w:rsidRDefault="00751F51">
      <w:pPr>
        <w:spacing w:line="360" w:lineRule="auto"/>
        <w:ind w:right="-153" w:firstLineChars="200" w:firstLine="400"/>
        <w:jc w:val="left"/>
        <w:rPr>
          <w:rFonts w:ascii="宋体" w:eastAsia="宋体" w:hAnsi="宋体" w:cs="宋体"/>
          <w:sz w:val="20"/>
          <w:szCs w:val="20"/>
        </w:rPr>
      </w:pPr>
      <w:r>
        <w:rPr>
          <w:rFonts w:ascii="宋体" w:eastAsia="宋体" w:hAnsi="宋体" w:cs="宋体" w:hint="eastAsia"/>
          <w:sz w:val="20"/>
          <w:szCs w:val="20"/>
        </w:rPr>
        <w:t>注：上述“营业收入”以经公司聘请的具有证券期货从业资格的会计师事务所审计的合并报表所载数据为计算依据。</w:t>
      </w:r>
    </w:p>
    <w:p w:rsidR="005F334F" w:rsidRDefault="00751F51">
      <w:pPr>
        <w:spacing w:line="360" w:lineRule="auto"/>
        <w:ind w:right="-153" w:firstLineChars="200" w:firstLine="480"/>
        <w:jc w:val="left"/>
        <w:rPr>
          <w:rFonts w:ascii="Times New Roman" w:eastAsia="宋体" w:hAnsi="Times New Roman" w:cs="Times New Roman"/>
          <w:sz w:val="24"/>
          <w:szCs w:val="24"/>
        </w:rPr>
      </w:pPr>
      <w:r>
        <w:rPr>
          <w:rFonts w:ascii="宋体" w:eastAsia="宋体" w:hAnsi="宋体" w:cs="Times New Roman"/>
          <w:sz w:val="24"/>
          <w:szCs w:val="24"/>
        </w:rPr>
        <w:t>公司未满足上述业绩考核目标的，所有激励对象对应考核当年可解除限售的</w:t>
      </w:r>
      <w:r>
        <w:rPr>
          <w:rFonts w:ascii="宋体" w:eastAsia="宋体" w:hAnsi="宋体" w:cs="Times New Roman"/>
          <w:sz w:val="24"/>
          <w:szCs w:val="24"/>
        </w:rPr>
        <w:lastRenderedPageBreak/>
        <w:t>限制性股票均不得解除限售，由公司回购注销，回购价格为授予价格加上银行同期定期存款利息之</w:t>
      </w:r>
      <w:proofErr w:type="gramStart"/>
      <w:r>
        <w:rPr>
          <w:rFonts w:ascii="宋体" w:eastAsia="宋体" w:hAnsi="宋体" w:cs="Times New Roman"/>
          <w:sz w:val="24"/>
          <w:szCs w:val="24"/>
        </w:rPr>
        <w:t>和</w:t>
      </w:r>
      <w:proofErr w:type="gramEnd"/>
      <w:r>
        <w:rPr>
          <w:rFonts w:ascii="宋体" w:eastAsia="宋体" w:hAnsi="宋体" w:cs="Times New Roman"/>
          <w:sz w:val="24"/>
          <w:szCs w:val="24"/>
        </w:rPr>
        <w:t>。</w:t>
      </w:r>
    </w:p>
    <w:p w:rsidR="005F334F" w:rsidRDefault="009158DF">
      <w:pPr>
        <w:spacing w:line="360" w:lineRule="auto"/>
        <w:ind w:right="-153" w:firstLineChars="200" w:firstLine="480"/>
        <w:jc w:val="left"/>
        <w:rPr>
          <w:rFonts w:ascii="Times New Roman" w:eastAsia="宋体" w:hAnsi="Times New Roman" w:cs="Times New Roman"/>
          <w:sz w:val="24"/>
          <w:szCs w:val="24"/>
        </w:rPr>
      </w:pPr>
      <w:r>
        <w:rPr>
          <w:rFonts w:ascii="宋体" w:eastAsia="宋体" w:hAnsi="宋体" w:cs="Times New Roman" w:hint="eastAsia"/>
          <w:sz w:val="24"/>
          <w:szCs w:val="24"/>
        </w:rPr>
        <w:t>2</w:t>
      </w:r>
      <w:r w:rsidR="00751F51">
        <w:rPr>
          <w:rFonts w:ascii="宋体" w:eastAsia="宋体" w:hAnsi="宋体" w:cs="Times New Roman"/>
          <w:sz w:val="24"/>
          <w:szCs w:val="24"/>
        </w:rPr>
        <w:t>）个人层面绩效考核要求</w:t>
      </w:r>
    </w:p>
    <w:p w:rsidR="005F334F" w:rsidRDefault="00751F51">
      <w:pPr>
        <w:spacing w:line="360" w:lineRule="auto"/>
        <w:ind w:firstLineChars="200" w:firstLine="480"/>
        <w:rPr>
          <w:rFonts w:ascii="Times" w:eastAsia="宋体" w:hAnsi="Times" w:cs="宋体"/>
          <w:color w:val="000000"/>
          <w:sz w:val="24"/>
          <w:szCs w:val="24"/>
        </w:rPr>
      </w:pPr>
      <w:r>
        <w:rPr>
          <w:rFonts w:ascii="宋体" w:eastAsia="宋体" w:hAnsi="宋体" w:cs="宋体" w:hint="eastAsia"/>
          <w:color w:val="000000"/>
          <w:sz w:val="24"/>
          <w:szCs w:val="24"/>
        </w:rPr>
        <w:t>激励对象的个人层面绩效考核按照公司现行薪酬与考核的相关规定组织实施，并依照激励对象的考核结果确定其实际解除限售额度。激励对象的绩效考核结果划分为优秀、良好、不合格</w:t>
      </w:r>
      <w:r>
        <w:rPr>
          <w:rFonts w:ascii="宋体" w:eastAsia="宋体" w:hAnsi="宋体" w:cs="Times"/>
          <w:color w:val="000000"/>
          <w:sz w:val="24"/>
          <w:szCs w:val="24"/>
        </w:rPr>
        <w:t>三</w:t>
      </w:r>
      <w:r>
        <w:rPr>
          <w:rFonts w:ascii="宋体" w:eastAsia="宋体" w:hAnsi="宋体" w:cs="宋体" w:hint="eastAsia"/>
          <w:color w:val="000000"/>
          <w:sz w:val="24"/>
          <w:szCs w:val="24"/>
        </w:rPr>
        <w:t>个档次，考核评价表适用于考核对象。届时根据下表确定激励对象的实际解除限售额度：</w:t>
      </w:r>
    </w:p>
    <w:tbl>
      <w:tblPr>
        <w:tblW w:w="52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37"/>
        <w:gridCol w:w="1020"/>
        <w:gridCol w:w="1134"/>
        <w:gridCol w:w="1276"/>
      </w:tblGrid>
      <w:tr w:rsidR="005F334F">
        <w:trPr>
          <w:trHeight w:val="243"/>
          <w:jc w:val="center"/>
        </w:trPr>
        <w:tc>
          <w:tcPr>
            <w:tcW w:w="1837" w:type="dxa"/>
            <w:tcBorders>
              <w:top w:val="single" w:sz="12" w:space="0" w:color="auto"/>
              <w:left w:val="single" w:sz="12" w:space="0" w:color="auto"/>
              <w:bottom w:val="single" w:sz="2" w:space="0" w:color="auto"/>
              <w:right w:val="single" w:sz="2" w:space="0" w:color="auto"/>
            </w:tcBorders>
            <w:shd w:val="clear" w:color="auto" w:fill="BFBFBF"/>
            <w:vAlign w:val="center"/>
          </w:tcPr>
          <w:p w:rsidR="005F334F" w:rsidRDefault="00751F51">
            <w:pPr>
              <w:autoSpaceDE w:val="0"/>
              <w:autoSpaceDN w:val="0"/>
              <w:adjustRightInd w:val="0"/>
              <w:spacing w:line="360" w:lineRule="auto"/>
              <w:jc w:val="center"/>
              <w:rPr>
                <w:rFonts w:ascii="Times" w:eastAsia="宋体" w:hAnsi="Times" w:cs="Times New Roman"/>
                <w:b/>
                <w:bCs/>
                <w:color w:val="000000"/>
                <w:szCs w:val="21"/>
              </w:rPr>
            </w:pPr>
            <w:r>
              <w:rPr>
                <w:rFonts w:ascii="Times" w:eastAsia="宋体" w:hAnsi="Times" w:cs="Times New Roman" w:hint="eastAsia"/>
                <w:b/>
                <w:bCs/>
                <w:color w:val="000000"/>
                <w:szCs w:val="21"/>
              </w:rPr>
              <w:t>考核评级</w:t>
            </w:r>
          </w:p>
        </w:tc>
        <w:tc>
          <w:tcPr>
            <w:tcW w:w="1020" w:type="dxa"/>
            <w:tcBorders>
              <w:top w:val="single" w:sz="12" w:space="0" w:color="auto"/>
              <w:left w:val="single" w:sz="2" w:space="0" w:color="auto"/>
              <w:bottom w:val="single" w:sz="2" w:space="0" w:color="auto"/>
              <w:right w:val="single" w:sz="2" w:space="0" w:color="auto"/>
            </w:tcBorders>
            <w:shd w:val="clear" w:color="auto" w:fill="BFBFBF"/>
            <w:vAlign w:val="center"/>
          </w:tcPr>
          <w:p w:rsidR="005F334F" w:rsidRDefault="00751F51">
            <w:pPr>
              <w:autoSpaceDE w:val="0"/>
              <w:autoSpaceDN w:val="0"/>
              <w:adjustRightInd w:val="0"/>
              <w:spacing w:line="360" w:lineRule="auto"/>
              <w:ind w:leftChars="17" w:left="36"/>
              <w:jc w:val="center"/>
              <w:rPr>
                <w:rFonts w:ascii="Times" w:eastAsia="宋体" w:hAnsi="Times" w:cs="Times New Roman"/>
                <w:b/>
                <w:bCs/>
                <w:color w:val="000000"/>
                <w:szCs w:val="21"/>
              </w:rPr>
            </w:pPr>
            <w:r>
              <w:rPr>
                <w:rFonts w:ascii="Times" w:eastAsia="宋体" w:hAnsi="Times" w:cs="Times New Roman"/>
                <w:b/>
                <w:bCs/>
                <w:color w:val="000000"/>
                <w:szCs w:val="21"/>
              </w:rPr>
              <w:t>优秀</w:t>
            </w:r>
          </w:p>
        </w:tc>
        <w:tc>
          <w:tcPr>
            <w:tcW w:w="1134" w:type="dxa"/>
            <w:tcBorders>
              <w:top w:val="single" w:sz="12" w:space="0" w:color="auto"/>
              <w:left w:val="single" w:sz="2" w:space="0" w:color="auto"/>
              <w:bottom w:val="single" w:sz="2" w:space="0" w:color="auto"/>
              <w:right w:val="single" w:sz="2" w:space="0" w:color="auto"/>
            </w:tcBorders>
            <w:shd w:val="clear" w:color="auto" w:fill="BFBFBF"/>
            <w:vAlign w:val="center"/>
          </w:tcPr>
          <w:p w:rsidR="005F334F" w:rsidRDefault="00751F51">
            <w:pPr>
              <w:autoSpaceDE w:val="0"/>
              <w:autoSpaceDN w:val="0"/>
              <w:adjustRightInd w:val="0"/>
              <w:spacing w:line="360" w:lineRule="auto"/>
              <w:ind w:leftChars="17" w:left="36"/>
              <w:jc w:val="center"/>
              <w:rPr>
                <w:rFonts w:ascii="Times" w:eastAsia="宋体" w:hAnsi="Times" w:cs="Times New Roman"/>
                <w:b/>
                <w:bCs/>
                <w:color w:val="000000"/>
                <w:szCs w:val="21"/>
              </w:rPr>
            </w:pPr>
            <w:r>
              <w:rPr>
                <w:rFonts w:ascii="Times" w:eastAsia="宋体" w:hAnsi="Times" w:cs="Times New Roman"/>
                <w:b/>
                <w:bCs/>
                <w:color w:val="000000"/>
                <w:szCs w:val="21"/>
              </w:rPr>
              <w:t>良好</w:t>
            </w:r>
          </w:p>
        </w:tc>
        <w:tc>
          <w:tcPr>
            <w:tcW w:w="1276" w:type="dxa"/>
            <w:tcBorders>
              <w:top w:val="single" w:sz="12" w:space="0" w:color="auto"/>
              <w:left w:val="single" w:sz="2" w:space="0" w:color="auto"/>
              <w:bottom w:val="single" w:sz="2" w:space="0" w:color="auto"/>
              <w:right w:val="single" w:sz="12" w:space="0" w:color="auto"/>
            </w:tcBorders>
            <w:shd w:val="clear" w:color="auto" w:fill="BFBFBF"/>
            <w:vAlign w:val="center"/>
          </w:tcPr>
          <w:p w:rsidR="005F334F" w:rsidRDefault="00751F51">
            <w:pPr>
              <w:autoSpaceDE w:val="0"/>
              <w:autoSpaceDN w:val="0"/>
              <w:adjustRightInd w:val="0"/>
              <w:spacing w:line="360" w:lineRule="auto"/>
              <w:ind w:leftChars="17" w:left="36"/>
              <w:jc w:val="center"/>
              <w:rPr>
                <w:rFonts w:ascii="Times" w:eastAsia="宋体" w:hAnsi="Times" w:cs="Times New Roman"/>
                <w:b/>
                <w:bCs/>
                <w:color w:val="000000"/>
                <w:szCs w:val="21"/>
              </w:rPr>
            </w:pPr>
            <w:r>
              <w:rPr>
                <w:rFonts w:ascii="Times" w:eastAsia="宋体" w:hAnsi="Times" w:cs="Times New Roman"/>
                <w:b/>
                <w:bCs/>
                <w:color w:val="000000"/>
                <w:szCs w:val="21"/>
              </w:rPr>
              <w:t>不合格</w:t>
            </w:r>
          </w:p>
        </w:tc>
      </w:tr>
      <w:tr w:rsidR="005F334F">
        <w:trPr>
          <w:trHeight w:val="294"/>
          <w:jc w:val="center"/>
        </w:trPr>
        <w:tc>
          <w:tcPr>
            <w:tcW w:w="1837" w:type="dxa"/>
            <w:tcBorders>
              <w:top w:val="single" w:sz="2" w:space="0" w:color="auto"/>
              <w:left w:val="single" w:sz="12" w:space="0" w:color="auto"/>
              <w:bottom w:val="single" w:sz="12" w:space="0" w:color="auto"/>
              <w:right w:val="single" w:sz="2" w:space="0" w:color="auto"/>
            </w:tcBorders>
            <w:vAlign w:val="center"/>
          </w:tcPr>
          <w:p w:rsidR="005F334F" w:rsidRDefault="00751F51">
            <w:pPr>
              <w:widowControl/>
              <w:spacing w:line="360" w:lineRule="auto"/>
              <w:jc w:val="center"/>
              <w:rPr>
                <w:rFonts w:ascii="Times" w:eastAsia="宋体" w:hAnsi="Times" w:cs="Times"/>
                <w:b/>
                <w:bCs/>
                <w:color w:val="000000"/>
                <w:kern w:val="0"/>
                <w:szCs w:val="21"/>
              </w:rPr>
            </w:pPr>
            <w:r>
              <w:rPr>
                <w:rFonts w:ascii="Times" w:eastAsia="宋体" w:hAnsi="Times" w:cs="宋体" w:hint="eastAsia"/>
                <w:b/>
                <w:bCs/>
                <w:color w:val="000000"/>
                <w:kern w:val="0"/>
                <w:szCs w:val="21"/>
              </w:rPr>
              <w:t>标准系数</w:t>
            </w:r>
          </w:p>
        </w:tc>
        <w:tc>
          <w:tcPr>
            <w:tcW w:w="2154" w:type="dxa"/>
            <w:gridSpan w:val="2"/>
            <w:tcBorders>
              <w:top w:val="single" w:sz="2" w:space="0" w:color="auto"/>
              <w:left w:val="single" w:sz="2" w:space="0" w:color="auto"/>
              <w:bottom w:val="single" w:sz="12" w:space="0" w:color="auto"/>
              <w:right w:val="single" w:sz="2" w:space="0" w:color="auto"/>
            </w:tcBorders>
            <w:vAlign w:val="center"/>
          </w:tcPr>
          <w:p w:rsidR="005F334F" w:rsidRDefault="00751F51">
            <w:pPr>
              <w:widowControl/>
              <w:spacing w:line="360" w:lineRule="auto"/>
              <w:jc w:val="center"/>
              <w:rPr>
                <w:rFonts w:asciiTheme="minorEastAsia" w:hAnsiTheme="minorEastAsia" w:cs="Times"/>
                <w:color w:val="000000"/>
                <w:kern w:val="0"/>
                <w:sz w:val="22"/>
              </w:rPr>
            </w:pPr>
            <w:r>
              <w:rPr>
                <w:rFonts w:asciiTheme="minorEastAsia" w:hAnsiTheme="minorEastAsia" w:cs="Times"/>
                <w:color w:val="000000"/>
                <w:kern w:val="0"/>
                <w:sz w:val="22"/>
              </w:rPr>
              <w:t>1.0</w:t>
            </w:r>
          </w:p>
        </w:tc>
        <w:tc>
          <w:tcPr>
            <w:tcW w:w="1276" w:type="dxa"/>
            <w:tcBorders>
              <w:top w:val="single" w:sz="2" w:space="0" w:color="auto"/>
              <w:left w:val="single" w:sz="2" w:space="0" w:color="auto"/>
              <w:bottom w:val="single" w:sz="12" w:space="0" w:color="auto"/>
              <w:right w:val="single" w:sz="12" w:space="0" w:color="auto"/>
            </w:tcBorders>
            <w:vAlign w:val="center"/>
          </w:tcPr>
          <w:p w:rsidR="005F334F" w:rsidRDefault="00751F51">
            <w:pPr>
              <w:widowControl/>
              <w:spacing w:line="360" w:lineRule="auto"/>
              <w:jc w:val="center"/>
              <w:rPr>
                <w:rFonts w:asciiTheme="minorEastAsia" w:hAnsiTheme="minorEastAsia" w:cs="Times"/>
                <w:color w:val="000000"/>
                <w:kern w:val="0"/>
                <w:sz w:val="22"/>
              </w:rPr>
            </w:pPr>
            <w:r>
              <w:rPr>
                <w:rFonts w:asciiTheme="minorEastAsia" w:hAnsiTheme="minorEastAsia" w:cs="Times"/>
                <w:color w:val="000000"/>
                <w:kern w:val="0"/>
                <w:sz w:val="22"/>
              </w:rPr>
              <w:t>0</w:t>
            </w:r>
          </w:p>
        </w:tc>
      </w:tr>
    </w:tbl>
    <w:p w:rsidR="005F334F" w:rsidRDefault="00751F51">
      <w:pPr>
        <w:spacing w:line="360" w:lineRule="auto"/>
        <w:ind w:right="-153" w:firstLineChars="200" w:firstLine="480"/>
        <w:jc w:val="left"/>
        <w:rPr>
          <w:rFonts w:ascii="Times New Roman" w:eastAsia="宋体" w:hAnsi="Times New Roman" w:cs="Times New Roman"/>
          <w:sz w:val="24"/>
          <w:szCs w:val="24"/>
        </w:rPr>
      </w:pPr>
      <w:r>
        <w:rPr>
          <w:rFonts w:ascii="宋体" w:eastAsia="宋体" w:hAnsi="宋体" w:cs="Times New Roman"/>
          <w:sz w:val="24"/>
          <w:szCs w:val="24"/>
        </w:rPr>
        <w:t>若各年度公司层面业绩考核达标，激励对象个人当年实际解除限售额度</w:t>
      </w:r>
      <w:r>
        <w:rPr>
          <w:rFonts w:ascii="Times New Roman" w:eastAsia="宋体" w:hAnsi="Times New Roman" w:cs="Times New Roman"/>
          <w:sz w:val="24"/>
          <w:szCs w:val="24"/>
        </w:rPr>
        <w:t>=</w:t>
      </w:r>
      <w:r>
        <w:rPr>
          <w:rFonts w:ascii="宋体" w:eastAsia="宋体" w:hAnsi="宋体" w:cs="Times New Roman"/>
          <w:sz w:val="24"/>
          <w:szCs w:val="24"/>
        </w:rPr>
        <w:t>个人当年计划解除限售额度</w:t>
      </w:r>
      <w:r>
        <w:rPr>
          <w:rFonts w:ascii="Times New Roman" w:eastAsia="宋体" w:hAnsi="Times New Roman" w:cs="Times New Roman"/>
          <w:sz w:val="24"/>
          <w:szCs w:val="24"/>
        </w:rPr>
        <w:t>×</w:t>
      </w:r>
      <w:r>
        <w:rPr>
          <w:rFonts w:ascii="宋体" w:eastAsia="宋体" w:hAnsi="宋体" w:cs="Times New Roman"/>
          <w:sz w:val="24"/>
          <w:szCs w:val="24"/>
        </w:rPr>
        <w:t>标准系数。</w:t>
      </w:r>
    </w:p>
    <w:p w:rsidR="005F334F" w:rsidRDefault="00751F51">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激励对象</w:t>
      </w:r>
      <w:r>
        <w:rPr>
          <w:rFonts w:ascii="宋体" w:eastAsia="宋体" w:hAnsi="宋体" w:cs="宋体" w:hint="eastAsia"/>
          <w:sz w:val="24"/>
          <w:szCs w:val="24"/>
        </w:rPr>
        <w:t>因个人绩效考核而全部或部分未能</w:t>
      </w:r>
      <w:r>
        <w:rPr>
          <w:rFonts w:ascii="宋体" w:eastAsia="宋体" w:hAnsi="宋体" w:cs="Times New Roman"/>
          <w:sz w:val="24"/>
          <w:szCs w:val="24"/>
        </w:rPr>
        <w:t>解除限售的限制性股票，由公司按授予价格加上银行同期定期存款利息之和回购注销。</w:t>
      </w:r>
    </w:p>
    <w:p w:rsidR="005F334F" w:rsidRDefault="009158DF" w:rsidP="009C7308">
      <w:pPr>
        <w:spacing w:beforeLines="50" w:before="156" w:afterLines="50" w:after="156" w:line="360" w:lineRule="auto"/>
        <w:ind w:firstLineChars="200" w:firstLine="482"/>
        <w:rPr>
          <w:b/>
          <w:sz w:val="24"/>
        </w:rPr>
      </w:pPr>
      <w:r>
        <w:rPr>
          <w:rFonts w:hint="eastAsia"/>
          <w:b/>
          <w:sz w:val="24"/>
        </w:rPr>
        <w:t>三</w:t>
      </w:r>
      <w:r w:rsidR="00751F51">
        <w:rPr>
          <w:rFonts w:hint="eastAsia"/>
          <w:b/>
          <w:sz w:val="24"/>
        </w:rPr>
        <w:t>、</w:t>
      </w:r>
      <w:r w:rsidRPr="009158DF">
        <w:rPr>
          <w:rFonts w:hint="eastAsia"/>
          <w:b/>
          <w:sz w:val="24"/>
        </w:rPr>
        <w:t>限制性股票认购资金的验资情况</w:t>
      </w:r>
    </w:p>
    <w:p w:rsidR="005F334F" w:rsidRDefault="00110056">
      <w:pPr>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北京兴华会计师事务所（特殊普通合伙）于2020年9月14日出具了《验资报告》（[2020</w:t>
      </w:r>
      <w:r>
        <w:rPr>
          <w:rFonts w:asciiTheme="minorEastAsia" w:hAnsiTheme="minorEastAsia"/>
          <w:sz w:val="24"/>
        </w:rPr>
        <w:t>]</w:t>
      </w:r>
      <w:proofErr w:type="gramStart"/>
      <w:r>
        <w:rPr>
          <w:rFonts w:asciiTheme="minorEastAsia" w:hAnsiTheme="minorEastAsia" w:hint="eastAsia"/>
          <w:sz w:val="24"/>
        </w:rPr>
        <w:t>京会兴验</w:t>
      </w:r>
      <w:proofErr w:type="gramEnd"/>
      <w:r>
        <w:rPr>
          <w:rFonts w:asciiTheme="minorEastAsia" w:hAnsiTheme="minorEastAsia" w:hint="eastAsia"/>
          <w:sz w:val="24"/>
        </w:rPr>
        <w:t>字第52000002号），截至2020年9月8日止，公司已收到34名激励对象以货币资金缴纳的限制性股票认购款合计13,367,900.00</w:t>
      </w:r>
      <w:r w:rsidR="00783BF2">
        <w:rPr>
          <w:rFonts w:asciiTheme="minorEastAsia" w:hAnsiTheme="minorEastAsia" w:hint="eastAsia"/>
          <w:sz w:val="24"/>
        </w:rPr>
        <w:t>元，其中计入股本1,690,000.00元，计入资本公积（股本溢价）11,677,900.00元</w:t>
      </w:r>
      <w:r w:rsidR="00751F51">
        <w:rPr>
          <w:rFonts w:asciiTheme="minorEastAsia" w:hAnsiTheme="minorEastAsia" w:hint="eastAsia"/>
          <w:sz w:val="24"/>
        </w:rPr>
        <w:t>。</w:t>
      </w:r>
    </w:p>
    <w:p w:rsidR="005F334F" w:rsidRDefault="00783BF2" w:rsidP="009C7308">
      <w:pPr>
        <w:spacing w:beforeLines="50" w:before="156" w:afterLines="50" w:after="156" w:line="360" w:lineRule="auto"/>
        <w:ind w:firstLineChars="200" w:firstLine="482"/>
        <w:rPr>
          <w:rFonts w:asciiTheme="minorEastAsia" w:hAnsiTheme="minorEastAsia"/>
          <w:b/>
          <w:sz w:val="24"/>
        </w:rPr>
      </w:pPr>
      <w:r>
        <w:rPr>
          <w:rFonts w:asciiTheme="minorEastAsia" w:hAnsiTheme="minorEastAsia" w:hint="eastAsia"/>
          <w:b/>
          <w:sz w:val="24"/>
        </w:rPr>
        <w:t>四</w:t>
      </w:r>
      <w:r w:rsidR="00751F51">
        <w:rPr>
          <w:rFonts w:asciiTheme="minorEastAsia" w:hAnsiTheme="minorEastAsia" w:hint="eastAsia"/>
          <w:b/>
          <w:sz w:val="24"/>
        </w:rPr>
        <w:t>、</w:t>
      </w:r>
      <w:r w:rsidRPr="00783BF2">
        <w:rPr>
          <w:rFonts w:asciiTheme="minorEastAsia" w:hAnsiTheme="minorEastAsia" w:hint="eastAsia"/>
          <w:b/>
          <w:sz w:val="24"/>
        </w:rPr>
        <w:t>限制性股票的登记情况</w:t>
      </w:r>
    </w:p>
    <w:p w:rsidR="005F334F" w:rsidRDefault="00783BF2" w:rsidP="00783BF2">
      <w:pPr>
        <w:spacing w:beforeLines="50" w:before="156" w:afterLines="50" w:after="156" w:line="360" w:lineRule="auto"/>
        <w:ind w:firstLineChars="200" w:firstLine="480"/>
        <w:rPr>
          <w:rFonts w:asciiTheme="minorEastAsia" w:hAnsiTheme="minorEastAsia"/>
          <w:sz w:val="24"/>
        </w:rPr>
      </w:pPr>
      <w:r w:rsidRPr="00783BF2">
        <w:rPr>
          <w:rFonts w:asciiTheme="minorEastAsia" w:hAnsiTheme="minorEastAsia" w:hint="eastAsia"/>
          <w:sz w:val="24"/>
        </w:rPr>
        <w:t>本次激励计划授予登记的限制性股票共计</w:t>
      </w:r>
      <w:r>
        <w:rPr>
          <w:rFonts w:asciiTheme="minorEastAsia" w:hAnsiTheme="minorEastAsia" w:hint="eastAsia"/>
          <w:sz w:val="24"/>
        </w:rPr>
        <w:t>169</w:t>
      </w:r>
      <w:r w:rsidRPr="00783BF2">
        <w:rPr>
          <w:rFonts w:asciiTheme="minorEastAsia" w:hAnsiTheme="minorEastAsia" w:hint="eastAsia"/>
          <w:sz w:val="24"/>
        </w:rPr>
        <w:t>万股，公司已在中国证券登记结算有限责任公司上海分公司完成登记工作，并</w:t>
      </w:r>
      <w:r w:rsidRPr="0076650C">
        <w:rPr>
          <w:rFonts w:asciiTheme="minorEastAsia" w:hAnsiTheme="minorEastAsia" w:hint="eastAsia"/>
          <w:sz w:val="24"/>
        </w:rPr>
        <w:t>于2020年9月</w:t>
      </w:r>
      <w:r w:rsidR="0076650C" w:rsidRPr="0076650C">
        <w:rPr>
          <w:rFonts w:asciiTheme="minorEastAsia" w:hAnsiTheme="minorEastAsia" w:hint="eastAsia"/>
          <w:sz w:val="24"/>
        </w:rPr>
        <w:t>23</w:t>
      </w:r>
      <w:r w:rsidRPr="0076650C">
        <w:rPr>
          <w:rFonts w:asciiTheme="minorEastAsia" w:hAnsiTheme="minorEastAsia" w:hint="eastAsia"/>
          <w:sz w:val="24"/>
        </w:rPr>
        <w:t>日收到</w:t>
      </w:r>
      <w:r w:rsidRPr="00783BF2">
        <w:rPr>
          <w:rFonts w:asciiTheme="minorEastAsia" w:hAnsiTheme="minorEastAsia" w:hint="eastAsia"/>
          <w:sz w:val="24"/>
        </w:rPr>
        <w:t>中国证券</w:t>
      </w:r>
      <w:r w:rsidRPr="0076650C">
        <w:rPr>
          <w:rFonts w:asciiTheme="minorEastAsia" w:hAnsiTheme="minorEastAsia" w:hint="eastAsia"/>
          <w:sz w:val="24"/>
        </w:rPr>
        <w:t>登记结算有限责任公司上海分公司出具的《证券变更登记证明》，股权登记日为2020年9月</w:t>
      </w:r>
      <w:r w:rsidR="0076650C">
        <w:rPr>
          <w:rFonts w:asciiTheme="minorEastAsia" w:hAnsiTheme="minorEastAsia" w:hint="eastAsia"/>
          <w:sz w:val="24"/>
        </w:rPr>
        <w:t>2</w:t>
      </w:r>
      <w:r w:rsidR="00505870">
        <w:rPr>
          <w:rFonts w:asciiTheme="minorEastAsia" w:hAnsiTheme="minorEastAsia" w:hint="eastAsia"/>
          <w:sz w:val="24"/>
        </w:rPr>
        <w:t>2</w:t>
      </w:r>
      <w:r w:rsidRPr="0076650C">
        <w:rPr>
          <w:rFonts w:asciiTheme="minorEastAsia" w:hAnsiTheme="minorEastAsia" w:hint="eastAsia"/>
          <w:sz w:val="24"/>
        </w:rPr>
        <w:t>日</w:t>
      </w:r>
      <w:r w:rsidR="00751F51" w:rsidRPr="0076650C">
        <w:rPr>
          <w:rFonts w:asciiTheme="minorEastAsia" w:hAnsiTheme="minorEastAsia" w:hint="eastAsia"/>
          <w:sz w:val="24"/>
        </w:rPr>
        <w:t>。</w:t>
      </w:r>
    </w:p>
    <w:p w:rsidR="005F334F" w:rsidRDefault="00783BF2" w:rsidP="009C7308">
      <w:pPr>
        <w:spacing w:beforeLines="50" w:before="156" w:afterLines="50" w:after="156" w:line="360" w:lineRule="auto"/>
        <w:ind w:firstLineChars="200" w:firstLine="482"/>
        <w:rPr>
          <w:b/>
          <w:sz w:val="24"/>
        </w:rPr>
      </w:pPr>
      <w:r>
        <w:rPr>
          <w:rFonts w:hint="eastAsia"/>
          <w:b/>
          <w:sz w:val="24"/>
        </w:rPr>
        <w:t>五</w:t>
      </w:r>
      <w:r w:rsidR="00751F51">
        <w:rPr>
          <w:rFonts w:hint="eastAsia"/>
          <w:b/>
          <w:sz w:val="24"/>
        </w:rPr>
        <w:t>、</w:t>
      </w:r>
      <w:r w:rsidRPr="00783BF2">
        <w:rPr>
          <w:rFonts w:hint="eastAsia"/>
          <w:b/>
          <w:sz w:val="24"/>
        </w:rPr>
        <w:t>授予前后对公司控股股东的影响</w:t>
      </w:r>
    </w:p>
    <w:p w:rsidR="005F334F" w:rsidRDefault="00783BF2" w:rsidP="00783BF2">
      <w:pPr>
        <w:spacing w:beforeLines="50" w:before="156" w:afterLines="50" w:after="156" w:line="360" w:lineRule="auto"/>
        <w:ind w:firstLineChars="200" w:firstLine="480"/>
        <w:rPr>
          <w:rFonts w:asciiTheme="minorEastAsia" w:hAnsiTheme="minorEastAsia"/>
          <w:sz w:val="24"/>
        </w:rPr>
      </w:pPr>
      <w:r w:rsidRPr="00783BF2">
        <w:rPr>
          <w:rFonts w:hint="eastAsia"/>
          <w:sz w:val="24"/>
        </w:rPr>
        <w:t>本次限制性股票授予完成后</w:t>
      </w:r>
      <w:r w:rsidR="00813DE7">
        <w:rPr>
          <w:rFonts w:hint="eastAsia"/>
          <w:sz w:val="24"/>
        </w:rPr>
        <w:t>，公司</w:t>
      </w:r>
      <w:r w:rsidRPr="00783BF2">
        <w:rPr>
          <w:rFonts w:hint="eastAsia"/>
          <w:sz w:val="24"/>
        </w:rPr>
        <w:t>股份总数由</w:t>
      </w:r>
      <w:r w:rsidRPr="00783BF2">
        <w:rPr>
          <w:rFonts w:asciiTheme="minorEastAsia" w:hAnsiTheme="minorEastAsia" w:hint="eastAsia"/>
          <w:sz w:val="24"/>
        </w:rPr>
        <w:t>156</w:t>
      </w:r>
      <w:r>
        <w:rPr>
          <w:rFonts w:asciiTheme="minorEastAsia" w:hAnsiTheme="minorEastAsia" w:hint="eastAsia"/>
          <w:sz w:val="24"/>
        </w:rPr>
        <w:t>,</w:t>
      </w:r>
      <w:r w:rsidRPr="00783BF2">
        <w:rPr>
          <w:rFonts w:asciiTheme="minorEastAsia" w:hAnsiTheme="minorEastAsia" w:hint="eastAsia"/>
          <w:sz w:val="24"/>
        </w:rPr>
        <w:t>800</w:t>
      </w:r>
      <w:r>
        <w:rPr>
          <w:rFonts w:asciiTheme="minorEastAsia" w:hAnsiTheme="minorEastAsia" w:hint="eastAsia"/>
          <w:sz w:val="24"/>
        </w:rPr>
        <w:t>,</w:t>
      </w:r>
      <w:r w:rsidRPr="00783BF2">
        <w:rPr>
          <w:rFonts w:asciiTheme="minorEastAsia" w:hAnsiTheme="minorEastAsia" w:hint="eastAsia"/>
          <w:sz w:val="24"/>
        </w:rPr>
        <w:t>000</w:t>
      </w:r>
      <w:r w:rsidRPr="00783BF2">
        <w:rPr>
          <w:rFonts w:hint="eastAsia"/>
          <w:sz w:val="24"/>
        </w:rPr>
        <w:t>股增加至</w:t>
      </w:r>
      <w:r>
        <w:rPr>
          <w:rFonts w:asciiTheme="minorEastAsia" w:hAnsiTheme="minorEastAsia" w:hint="eastAsia"/>
          <w:sz w:val="24"/>
        </w:rPr>
        <w:t>158,490,000</w:t>
      </w:r>
      <w:r w:rsidRPr="00783BF2">
        <w:rPr>
          <w:rFonts w:hint="eastAsia"/>
          <w:sz w:val="24"/>
        </w:rPr>
        <w:t>股，</w:t>
      </w:r>
      <w:r w:rsidR="00754108" w:rsidRPr="00754108">
        <w:rPr>
          <w:rFonts w:hint="eastAsia"/>
          <w:sz w:val="24"/>
        </w:rPr>
        <w:t>导致公司股东持股比例发生变动</w:t>
      </w:r>
      <w:r w:rsidR="00754108">
        <w:rPr>
          <w:rFonts w:hint="eastAsia"/>
          <w:sz w:val="24"/>
        </w:rPr>
        <w:t>。</w:t>
      </w:r>
      <w:r w:rsidRPr="00783BF2">
        <w:rPr>
          <w:rFonts w:hint="eastAsia"/>
          <w:sz w:val="24"/>
        </w:rPr>
        <w:t>公司控股股东</w:t>
      </w:r>
      <w:r w:rsidR="00813DE7">
        <w:rPr>
          <w:rFonts w:hint="eastAsia"/>
          <w:sz w:val="24"/>
        </w:rPr>
        <w:t>王现全先生</w:t>
      </w:r>
      <w:r w:rsidR="00754108">
        <w:rPr>
          <w:rFonts w:hint="eastAsia"/>
          <w:sz w:val="24"/>
        </w:rPr>
        <w:t>在授予登记完成前</w:t>
      </w:r>
      <w:r w:rsidRPr="00783BF2">
        <w:rPr>
          <w:rFonts w:hint="eastAsia"/>
          <w:sz w:val="24"/>
        </w:rPr>
        <w:t>持有公司股份</w:t>
      </w:r>
      <w:r w:rsidR="00813DE7" w:rsidRPr="00813DE7">
        <w:rPr>
          <w:rFonts w:asciiTheme="minorEastAsia" w:hAnsiTheme="minorEastAsia"/>
          <w:sz w:val="24"/>
        </w:rPr>
        <w:t>52,552,091</w:t>
      </w:r>
      <w:r w:rsidRPr="00783BF2">
        <w:rPr>
          <w:rFonts w:hint="eastAsia"/>
          <w:sz w:val="24"/>
        </w:rPr>
        <w:t>股，占</w:t>
      </w:r>
      <w:r w:rsidR="00754108">
        <w:rPr>
          <w:rFonts w:hint="eastAsia"/>
          <w:sz w:val="24"/>
        </w:rPr>
        <w:t>授予登记完成前</w:t>
      </w:r>
      <w:r w:rsidRPr="00783BF2">
        <w:rPr>
          <w:rFonts w:hint="eastAsia"/>
          <w:sz w:val="24"/>
        </w:rPr>
        <w:t>公司</w:t>
      </w:r>
      <w:r w:rsidR="00754108">
        <w:rPr>
          <w:rFonts w:hint="eastAsia"/>
          <w:sz w:val="24"/>
        </w:rPr>
        <w:t>总股本</w:t>
      </w:r>
      <w:r w:rsidRPr="00783BF2">
        <w:rPr>
          <w:rFonts w:hint="eastAsia"/>
          <w:sz w:val="24"/>
        </w:rPr>
        <w:t>的</w:t>
      </w:r>
      <w:r w:rsidR="00813DE7" w:rsidRPr="00813DE7">
        <w:rPr>
          <w:rFonts w:asciiTheme="minorEastAsia" w:hAnsiTheme="minorEastAsia" w:hint="eastAsia"/>
          <w:sz w:val="24"/>
        </w:rPr>
        <w:lastRenderedPageBreak/>
        <w:t>33.52</w:t>
      </w:r>
      <w:r w:rsidRPr="00813DE7">
        <w:rPr>
          <w:rFonts w:asciiTheme="minorEastAsia" w:hAnsiTheme="minorEastAsia" w:hint="eastAsia"/>
          <w:sz w:val="24"/>
        </w:rPr>
        <w:t>%</w:t>
      </w:r>
      <w:r w:rsidR="006E3143">
        <w:rPr>
          <w:rFonts w:hint="eastAsia"/>
          <w:sz w:val="24"/>
        </w:rPr>
        <w:t>，</w:t>
      </w:r>
      <w:r w:rsidR="00754108">
        <w:rPr>
          <w:rFonts w:hint="eastAsia"/>
          <w:sz w:val="24"/>
        </w:rPr>
        <w:t>授予登记完成后，其持有公司股份不变，占授予登记完成后公司总股本</w:t>
      </w:r>
      <w:r w:rsidR="00754108" w:rsidRPr="00754108">
        <w:rPr>
          <w:rFonts w:asciiTheme="minorEastAsia" w:hAnsiTheme="minorEastAsia" w:hint="eastAsia"/>
          <w:sz w:val="24"/>
        </w:rPr>
        <w:t>的33.16%</w:t>
      </w:r>
      <w:r w:rsidRPr="00754108">
        <w:rPr>
          <w:rFonts w:asciiTheme="minorEastAsia" w:hAnsiTheme="minorEastAsia" w:hint="eastAsia"/>
          <w:sz w:val="24"/>
        </w:rPr>
        <w:t>。</w:t>
      </w:r>
    </w:p>
    <w:p w:rsidR="00754108" w:rsidRDefault="00754108" w:rsidP="00754108">
      <w:pPr>
        <w:spacing w:beforeLines="50" w:before="156" w:afterLines="50" w:after="156" w:line="360" w:lineRule="auto"/>
        <w:ind w:firstLineChars="200" w:firstLine="480"/>
        <w:rPr>
          <w:sz w:val="24"/>
        </w:rPr>
      </w:pPr>
      <w:r w:rsidRPr="00754108">
        <w:rPr>
          <w:rFonts w:hint="eastAsia"/>
          <w:sz w:val="24"/>
        </w:rPr>
        <w:t>本次限制性股票授予登记完成后不会导致公司控股股东及实际控制人发生变化</w:t>
      </w:r>
      <w:r>
        <w:rPr>
          <w:rFonts w:hint="eastAsia"/>
          <w:sz w:val="24"/>
        </w:rPr>
        <w:t>。</w:t>
      </w:r>
    </w:p>
    <w:p w:rsidR="005F334F" w:rsidRDefault="00592ABA" w:rsidP="009C7308">
      <w:pPr>
        <w:spacing w:beforeLines="50" w:before="156" w:afterLines="50" w:after="156" w:line="360" w:lineRule="auto"/>
        <w:ind w:firstLineChars="200" w:firstLine="482"/>
        <w:rPr>
          <w:b/>
          <w:sz w:val="24"/>
        </w:rPr>
      </w:pPr>
      <w:r>
        <w:rPr>
          <w:rFonts w:hint="eastAsia"/>
          <w:b/>
          <w:sz w:val="24"/>
        </w:rPr>
        <w:t>六</w:t>
      </w:r>
      <w:r w:rsidR="00751F51">
        <w:rPr>
          <w:rFonts w:hint="eastAsia"/>
          <w:b/>
          <w:sz w:val="24"/>
        </w:rPr>
        <w:t>、</w:t>
      </w:r>
      <w:r w:rsidR="00754108" w:rsidRPr="00754108">
        <w:rPr>
          <w:rFonts w:hint="eastAsia"/>
          <w:b/>
          <w:sz w:val="24"/>
        </w:rPr>
        <w:t>股权结构变动情况</w:t>
      </w:r>
    </w:p>
    <w:p w:rsidR="00754108" w:rsidRPr="00754108" w:rsidRDefault="00754108" w:rsidP="00754108">
      <w:pPr>
        <w:spacing w:beforeLines="50" w:before="156" w:afterLines="50" w:after="156" w:line="360" w:lineRule="auto"/>
        <w:ind w:firstLineChars="200" w:firstLine="480"/>
        <w:jc w:val="right"/>
        <w:rPr>
          <w:sz w:val="24"/>
        </w:rPr>
      </w:pPr>
      <w:r w:rsidRPr="00754108">
        <w:rPr>
          <w:rFonts w:hint="eastAsia"/>
          <w:sz w:val="24"/>
        </w:rPr>
        <w:t>单位：股</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033"/>
        <w:gridCol w:w="2268"/>
        <w:gridCol w:w="2118"/>
      </w:tblGrid>
      <w:tr w:rsidR="00754108" w:rsidRPr="00754108" w:rsidTr="00754108">
        <w:trPr>
          <w:trHeight w:val="417"/>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754108" w:rsidRPr="00754108" w:rsidRDefault="00754108" w:rsidP="00754108">
            <w:pPr>
              <w:snapToGrid w:val="0"/>
              <w:spacing w:line="360" w:lineRule="auto"/>
              <w:jc w:val="center"/>
              <w:rPr>
                <w:rFonts w:ascii="宋体" w:eastAsia="宋体" w:hAnsi="宋体" w:cs="Times New Roman"/>
                <w:kern w:val="0"/>
                <w:sz w:val="24"/>
                <w:szCs w:val="24"/>
              </w:rPr>
            </w:pPr>
            <w:r w:rsidRPr="00754108">
              <w:rPr>
                <w:rFonts w:ascii="宋体" w:eastAsia="宋体" w:hAnsi="宋体" w:cs="Times New Roman" w:hint="eastAsia"/>
                <w:kern w:val="0"/>
                <w:sz w:val="24"/>
                <w:szCs w:val="24"/>
              </w:rPr>
              <w:t>类别</w:t>
            </w:r>
          </w:p>
        </w:tc>
        <w:tc>
          <w:tcPr>
            <w:tcW w:w="2033" w:type="dxa"/>
            <w:tcBorders>
              <w:top w:val="single" w:sz="4" w:space="0" w:color="auto"/>
              <w:left w:val="nil"/>
              <w:bottom w:val="single" w:sz="4" w:space="0" w:color="auto"/>
              <w:right w:val="single" w:sz="4" w:space="0" w:color="auto"/>
            </w:tcBorders>
            <w:vAlign w:val="center"/>
            <w:hideMark/>
          </w:tcPr>
          <w:p w:rsidR="00754108" w:rsidRPr="00754108" w:rsidRDefault="00754108" w:rsidP="00754108">
            <w:pPr>
              <w:snapToGrid w:val="0"/>
              <w:spacing w:line="360" w:lineRule="auto"/>
              <w:jc w:val="center"/>
              <w:rPr>
                <w:rFonts w:ascii="宋体" w:eastAsia="宋体" w:hAnsi="宋体" w:cs="Times New Roman"/>
                <w:kern w:val="0"/>
                <w:sz w:val="24"/>
                <w:szCs w:val="24"/>
              </w:rPr>
            </w:pPr>
            <w:r w:rsidRPr="00754108">
              <w:rPr>
                <w:rFonts w:ascii="宋体" w:eastAsia="宋体" w:hAnsi="宋体" w:cs="Times New Roman" w:hint="eastAsia"/>
                <w:kern w:val="0"/>
                <w:sz w:val="24"/>
                <w:szCs w:val="24"/>
              </w:rPr>
              <w:t>变动前</w:t>
            </w:r>
          </w:p>
        </w:tc>
        <w:tc>
          <w:tcPr>
            <w:tcW w:w="2268" w:type="dxa"/>
            <w:tcBorders>
              <w:top w:val="single" w:sz="4" w:space="0" w:color="auto"/>
              <w:left w:val="nil"/>
              <w:bottom w:val="single" w:sz="4" w:space="0" w:color="auto"/>
              <w:right w:val="single" w:sz="4" w:space="0" w:color="auto"/>
            </w:tcBorders>
            <w:vAlign w:val="center"/>
            <w:hideMark/>
          </w:tcPr>
          <w:p w:rsidR="00754108" w:rsidRPr="00754108" w:rsidRDefault="00754108" w:rsidP="00754108">
            <w:pPr>
              <w:snapToGrid w:val="0"/>
              <w:spacing w:line="360" w:lineRule="auto"/>
              <w:jc w:val="center"/>
              <w:rPr>
                <w:rFonts w:ascii="宋体" w:eastAsia="宋体" w:hAnsi="宋体" w:cs="Times New Roman"/>
                <w:kern w:val="0"/>
                <w:sz w:val="24"/>
                <w:szCs w:val="24"/>
              </w:rPr>
            </w:pPr>
            <w:r w:rsidRPr="00754108">
              <w:rPr>
                <w:rFonts w:ascii="宋体" w:eastAsia="宋体" w:hAnsi="宋体" w:cs="Times New Roman" w:hint="eastAsia"/>
                <w:kern w:val="0"/>
                <w:sz w:val="24"/>
                <w:szCs w:val="24"/>
              </w:rPr>
              <w:t>本次变动</w:t>
            </w:r>
          </w:p>
        </w:tc>
        <w:tc>
          <w:tcPr>
            <w:tcW w:w="2118" w:type="dxa"/>
            <w:tcBorders>
              <w:top w:val="single" w:sz="4" w:space="0" w:color="auto"/>
              <w:left w:val="nil"/>
              <w:bottom w:val="single" w:sz="4" w:space="0" w:color="auto"/>
              <w:right w:val="single" w:sz="4" w:space="0" w:color="auto"/>
            </w:tcBorders>
            <w:vAlign w:val="center"/>
            <w:hideMark/>
          </w:tcPr>
          <w:p w:rsidR="00754108" w:rsidRPr="00754108" w:rsidRDefault="00754108" w:rsidP="00754108">
            <w:pPr>
              <w:snapToGrid w:val="0"/>
              <w:spacing w:line="360" w:lineRule="auto"/>
              <w:jc w:val="center"/>
              <w:rPr>
                <w:rFonts w:ascii="宋体" w:eastAsia="宋体" w:hAnsi="宋体" w:cs="Times New Roman"/>
                <w:kern w:val="0"/>
                <w:sz w:val="24"/>
                <w:szCs w:val="24"/>
              </w:rPr>
            </w:pPr>
            <w:r w:rsidRPr="00754108">
              <w:rPr>
                <w:rFonts w:ascii="宋体" w:eastAsia="宋体" w:hAnsi="宋体" w:cs="Times New Roman" w:hint="eastAsia"/>
                <w:kern w:val="0"/>
                <w:sz w:val="24"/>
                <w:szCs w:val="24"/>
              </w:rPr>
              <w:t>变动后</w:t>
            </w:r>
          </w:p>
        </w:tc>
      </w:tr>
      <w:tr w:rsidR="00754108" w:rsidRPr="00754108" w:rsidTr="00754108">
        <w:trPr>
          <w:trHeight w:val="376"/>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754108" w:rsidRPr="00754108" w:rsidRDefault="00754108" w:rsidP="00754108">
            <w:pPr>
              <w:snapToGrid w:val="0"/>
              <w:spacing w:line="360" w:lineRule="auto"/>
              <w:jc w:val="center"/>
              <w:rPr>
                <w:rFonts w:ascii="宋体" w:eastAsia="宋体" w:hAnsi="宋体" w:cs="Times New Roman"/>
                <w:kern w:val="0"/>
                <w:sz w:val="24"/>
                <w:szCs w:val="24"/>
              </w:rPr>
            </w:pPr>
            <w:r w:rsidRPr="00754108">
              <w:rPr>
                <w:rFonts w:ascii="宋体" w:eastAsia="宋体" w:hAnsi="宋体" w:cs="Times New Roman" w:hint="eastAsia"/>
                <w:kern w:val="0"/>
                <w:sz w:val="24"/>
                <w:szCs w:val="24"/>
              </w:rPr>
              <w:t>一、有限</w:t>
            </w:r>
            <w:proofErr w:type="gramStart"/>
            <w:r w:rsidRPr="00754108">
              <w:rPr>
                <w:rFonts w:ascii="宋体" w:eastAsia="宋体" w:hAnsi="宋体" w:cs="Times New Roman" w:hint="eastAsia"/>
                <w:kern w:val="0"/>
                <w:sz w:val="24"/>
                <w:szCs w:val="24"/>
              </w:rPr>
              <w:t>售条件</w:t>
            </w:r>
            <w:proofErr w:type="gramEnd"/>
            <w:r w:rsidRPr="00754108">
              <w:rPr>
                <w:rFonts w:ascii="宋体" w:eastAsia="宋体" w:hAnsi="宋体" w:cs="Times New Roman" w:hint="eastAsia"/>
                <w:kern w:val="0"/>
                <w:sz w:val="24"/>
                <w:szCs w:val="24"/>
              </w:rPr>
              <w:t>股份</w:t>
            </w:r>
          </w:p>
        </w:tc>
        <w:tc>
          <w:tcPr>
            <w:tcW w:w="2033" w:type="dxa"/>
            <w:tcBorders>
              <w:top w:val="single" w:sz="4" w:space="0" w:color="auto"/>
              <w:left w:val="nil"/>
              <w:bottom w:val="single" w:sz="4" w:space="0" w:color="auto"/>
              <w:right w:val="single" w:sz="4" w:space="0" w:color="auto"/>
            </w:tcBorders>
            <w:vAlign w:val="center"/>
          </w:tcPr>
          <w:p w:rsidR="00754108" w:rsidRPr="00754108" w:rsidRDefault="00754108" w:rsidP="00754108">
            <w:pPr>
              <w:snapToGrid w:val="0"/>
              <w:spacing w:line="360" w:lineRule="auto"/>
              <w:jc w:val="center"/>
              <w:rPr>
                <w:rFonts w:ascii="宋体" w:eastAsia="宋体" w:hAnsi="宋体" w:cs="Times New Roman"/>
                <w:kern w:val="0"/>
                <w:sz w:val="24"/>
                <w:szCs w:val="24"/>
              </w:rPr>
            </w:pPr>
          </w:p>
        </w:tc>
        <w:tc>
          <w:tcPr>
            <w:tcW w:w="2268" w:type="dxa"/>
            <w:tcBorders>
              <w:top w:val="single" w:sz="4" w:space="0" w:color="auto"/>
              <w:left w:val="nil"/>
              <w:bottom w:val="single" w:sz="4" w:space="0" w:color="auto"/>
              <w:right w:val="single" w:sz="4" w:space="0" w:color="auto"/>
            </w:tcBorders>
            <w:vAlign w:val="center"/>
          </w:tcPr>
          <w:p w:rsidR="00754108" w:rsidRPr="00754108" w:rsidRDefault="00754108" w:rsidP="00754108">
            <w:pPr>
              <w:snapToGrid w:val="0"/>
              <w:spacing w:line="360" w:lineRule="auto"/>
              <w:jc w:val="right"/>
              <w:rPr>
                <w:rFonts w:ascii="宋体" w:eastAsia="宋体" w:hAnsi="宋体" w:cs="Times New Roman"/>
                <w:kern w:val="0"/>
                <w:sz w:val="24"/>
                <w:szCs w:val="24"/>
              </w:rPr>
            </w:pPr>
            <w:r>
              <w:rPr>
                <w:rFonts w:ascii="宋体" w:eastAsia="宋体" w:hAnsi="宋体" w:cs="Times New Roman" w:hint="eastAsia"/>
                <w:kern w:val="0"/>
                <w:sz w:val="24"/>
                <w:szCs w:val="24"/>
              </w:rPr>
              <w:t>1,690,000</w:t>
            </w:r>
          </w:p>
        </w:tc>
        <w:tc>
          <w:tcPr>
            <w:tcW w:w="2118" w:type="dxa"/>
            <w:tcBorders>
              <w:top w:val="single" w:sz="4" w:space="0" w:color="auto"/>
              <w:left w:val="nil"/>
              <w:bottom w:val="single" w:sz="4" w:space="0" w:color="auto"/>
              <w:right w:val="single" w:sz="4" w:space="0" w:color="auto"/>
            </w:tcBorders>
            <w:vAlign w:val="center"/>
          </w:tcPr>
          <w:p w:rsidR="00754108" w:rsidRPr="00754108" w:rsidRDefault="00754108" w:rsidP="00754108">
            <w:pPr>
              <w:snapToGrid w:val="0"/>
              <w:spacing w:line="360" w:lineRule="auto"/>
              <w:jc w:val="right"/>
              <w:rPr>
                <w:rFonts w:ascii="宋体" w:eastAsia="宋体" w:hAnsi="宋体" w:cs="Times New Roman"/>
                <w:kern w:val="0"/>
                <w:sz w:val="24"/>
                <w:szCs w:val="24"/>
              </w:rPr>
            </w:pPr>
            <w:r>
              <w:rPr>
                <w:rFonts w:ascii="宋体" w:eastAsia="宋体" w:hAnsi="宋体" w:cs="Times New Roman" w:hint="eastAsia"/>
                <w:kern w:val="0"/>
                <w:sz w:val="24"/>
                <w:szCs w:val="24"/>
              </w:rPr>
              <w:t>1,690,000</w:t>
            </w:r>
          </w:p>
        </w:tc>
      </w:tr>
      <w:tr w:rsidR="00754108" w:rsidRPr="00754108" w:rsidTr="00754108">
        <w:trPr>
          <w:trHeight w:val="212"/>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754108" w:rsidRPr="00754108" w:rsidRDefault="00754108" w:rsidP="00754108">
            <w:pPr>
              <w:snapToGrid w:val="0"/>
              <w:spacing w:line="360" w:lineRule="auto"/>
              <w:jc w:val="center"/>
              <w:rPr>
                <w:rFonts w:ascii="宋体" w:eastAsia="宋体" w:hAnsi="宋体" w:cs="Times New Roman"/>
                <w:kern w:val="0"/>
                <w:sz w:val="24"/>
                <w:szCs w:val="24"/>
              </w:rPr>
            </w:pPr>
            <w:r w:rsidRPr="00754108">
              <w:rPr>
                <w:rFonts w:ascii="宋体" w:eastAsia="宋体" w:hAnsi="宋体" w:cs="Times New Roman" w:hint="eastAsia"/>
                <w:kern w:val="0"/>
                <w:sz w:val="24"/>
                <w:szCs w:val="24"/>
              </w:rPr>
              <w:t>二、无限</w:t>
            </w:r>
            <w:proofErr w:type="gramStart"/>
            <w:r w:rsidRPr="00754108">
              <w:rPr>
                <w:rFonts w:ascii="宋体" w:eastAsia="宋体" w:hAnsi="宋体" w:cs="Times New Roman" w:hint="eastAsia"/>
                <w:kern w:val="0"/>
                <w:sz w:val="24"/>
                <w:szCs w:val="24"/>
              </w:rPr>
              <w:t>售条件</w:t>
            </w:r>
            <w:proofErr w:type="gramEnd"/>
            <w:r w:rsidRPr="00754108">
              <w:rPr>
                <w:rFonts w:ascii="宋体" w:eastAsia="宋体" w:hAnsi="宋体" w:cs="Times New Roman" w:hint="eastAsia"/>
                <w:kern w:val="0"/>
                <w:sz w:val="24"/>
                <w:szCs w:val="24"/>
              </w:rPr>
              <w:t>股份</w:t>
            </w:r>
          </w:p>
        </w:tc>
        <w:tc>
          <w:tcPr>
            <w:tcW w:w="2033" w:type="dxa"/>
            <w:tcBorders>
              <w:top w:val="single" w:sz="4" w:space="0" w:color="auto"/>
              <w:left w:val="nil"/>
              <w:bottom w:val="single" w:sz="4" w:space="0" w:color="auto"/>
              <w:right w:val="single" w:sz="4" w:space="0" w:color="auto"/>
            </w:tcBorders>
            <w:vAlign w:val="center"/>
          </w:tcPr>
          <w:p w:rsidR="00754108" w:rsidRPr="00754108" w:rsidRDefault="00754108" w:rsidP="00754108">
            <w:pPr>
              <w:snapToGrid w:val="0"/>
              <w:spacing w:line="360" w:lineRule="auto"/>
              <w:jc w:val="right"/>
              <w:rPr>
                <w:rFonts w:ascii="宋体" w:eastAsia="宋体" w:hAnsi="宋体" w:cs="Times New Roman"/>
                <w:kern w:val="0"/>
                <w:sz w:val="24"/>
                <w:szCs w:val="24"/>
              </w:rPr>
            </w:pPr>
            <w:r>
              <w:rPr>
                <w:rFonts w:ascii="宋体" w:eastAsia="宋体" w:hAnsi="宋体" w:cs="Times New Roman" w:hint="eastAsia"/>
                <w:kern w:val="0"/>
                <w:sz w:val="24"/>
                <w:szCs w:val="24"/>
              </w:rPr>
              <w:t>156,800,000</w:t>
            </w:r>
          </w:p>
        </w:tc>
        <w:tc>
          <w:tcPr>
            <w:tcW w:w="2268" w:type="dxa"/>
            <w:tcBorders>
              <w:top w:val="single" w:sz="4" w:space="0" w:color="auto"/>
              <w:left w:val="nil"/>
              <w:bottom w:val="single" w:sz="4" w:space="0" w:color="auto"/>
              <w:right w:val="single" w:sz="4" w:space="0" w:color="auto"/>
            </w:tcBorders>
            <w:vAlign w:val="center"/>
          </w:tcPr>
          <w:p w:rsidR="00754108" w:rsidRPr="00754108" w:rsidRDefault="00754108" w:rsidP="00754108">
            <w:pPr>
              <w:snapToGrid w:val="0"/>
              <w:spacing w:line="360" w:lineRule="auto"/>
              <w:jc w:val="right"/>
              <w:rPr>
                <w:rFonts w:ascii="宋体" w:eastAsia="宋体" w:hAnsi="宋体" w:cs="Times New Roman"/>
                <w:kern w:val="0"/>
                <w:sz w:val="24"/>
                <w:szCs w:val="24"/>
              </w:rPr>
            </w:pPr>
          </w:p>
        </w:tc>
        <w:tc>
          <w:tcPr>
            <w:tcW w:w="2118" w:type="dxa"/>
            <w:tcBorders>
              <w:top w:val="single" w:sz="4" w:space="0" w:color="auto"/>
              <w:left w:val="nil"/>
              <w:bottom w:val="single" w:sz="4" w:space="0" w:color="auto"/>
              <w:right w:val="single" w:sz="4" w:space="0" w:color="auto"/>
            </w:tcBorders>
            <w:vAlign w:val="center"/>
          </w:tcPr>
          <w:p w:rsidR="00754108" w:rsidRPr="00754108" w:rsidRDefault="00754108" w:rsidP="00754108">
            <w:pPr>
              <w:snapToGrid w:val="0"/>
              <w:spacing w:line="360" w:lineRule="auto"/>
              <w:jc w:val="right"/>
              <w:rPr>
                <w:rFonts w:ascii="宋体" w:eastAsia="宋体" w:hAnsi="宋体" w:cs="Times New Roman"/>
                <w:kern w:val="0"/>
                <w:sz w:val="24"/>
                <w:szCs w:val="24"/>
              </w:rPr>
            </w:pPr>
            <w:r>
              <w:rPr>
                <w:rFonts w:ascii="宋体" w:eastAsia="宋体" w:hAnsi="宋体" w:cs="Times New Roman" w:hint="eastAsia"/>
                <w:kern w:val="0"/>
                <w:sz w:val="24"/>
                <w:szCs w:val="24"/>
              </w:rPr>
              <w:t>156,800,000</w:t>
            </w:r>
          </w:p>
        </w:tc>
      </w:tr>
      <w:tr w:rsidR="00754108" w:rsidRPr="00754108" w:rsidTr="00051223">
        <w:trPr>
          <w:trHeight w:val="444"/>
          <w:jc w:val="center"/>
        </w:trPr>
        <w:tc>
          <w:tcPr>
            <w:tcW w:w="2270" w:type="dxa"/>
            <w:tcBorders>
              <w:top w:val="single" w:sz="4" w:space="0" w:color="auto"/>
              <w:left w:val="single" w:sz="4" w:space="0" w:color="auto"/>
              <w:bottom w:val="single" w:sz="4" w:space="0" w:color="auto"/>
              <w:right w:val="single" w:sz="4" w:space="0" w:color="auto"/>
            </w:tcBorders>
            <w:vAlign w:val="bottom"/>
            <w:hideMark/>
          </w:tcPr>
          <w:p w:rsidR="00754108" w:rsidRPr="00754108" w:rsidRDefault="00754108" w:rsidP="00051223">
            <w:pPr>
              <w:snapToGrid w:val="0"/>
              <w:spacing w:line="360" w:lineRule="auto"/>
              <w:jc w:val="center"/>
              <w:rPr>
                <w:rFonts w:ascii="宋体" w:eastAsia="宋体" w:hAnsi="宋体" w:cs="Times New Roman"/>
                <w:kern w:val="0"/>
                <w:sz w:val="24"/>
                <w:szCs w:val="24"/>
              </w:rPr>
            </w:pPr>
            <w:r w:rsidRPr="00754108">
              <w:rPr>
                <w:rFonts w:ascii="宋体" w:eastAsia="宋体" w:hAnsi="宋体" w:cs="Times New Roman" w:hint="eastAsia"/>
                <w:kern w:val="0"/>
                <w:sz w:val="24"/>
                <w:szCs w:val="24"/>
              </w:rPr>
              <w:t>总计</w:t>
            </w:r>
          </w:p>
        </w:tc>
        <w:tc>
          <w:tcPr>
            <w:tcW w:w="2033" w:type="dxa"/>
            <w:tcBorders>
              <w:top w:val="single" w:sz="4" w:space="0" w:color="auto"/>
              <w:left w:val="nil"/>
              <w:bottom w:val="single" w:sz="4" w:space="0" w:color="auto"/>
              <w:right w:val="single" w:sz="4" w:space="0" w:color="auto"/>
            </w:tcBorders>
            <w:vAlign w:val="center"/>
          </w:tcPr>
          <w:p w:rsidR="00754108" w:rsidRPr="00754108" w:rsidRDefault="00754108" w:rsidP="00754108">
            <w:pPr>
              <w:snapToGrid w:val="0"/>
              <w:spacing w:line="360" w:lineRule="auto"/>
              <w:jc w:val="right"/>
              <w:rPr>
                <w:rFonts w:ascii="宋体" w:eastAsia="宋体" w:hAnsi="宋体" w:cs="Times New Roman"/>
                <w:kern w:val="0"/>
                <w:sz w:val="24"/>
                <w:szCs w:val="24"/>
              </w:rPr>
            </w:pPr>
            <w:r>
              <w:rPr>
                <w:rFonts w:ascii="宋体" w:eastAsia="宋体" w:hAnsi="宋体" w:cs="Times New Roman" w:hint="eastAsia"/>
                <w:kern w:val="0"/>
                <w:sz w:val="24"/>
                <w:szCs w:val="24"/>
              </w:rPr>
              <w:t>15,6800,000</w:t>
            </w:r>
          </w:p>
        </w:tc>
        <w:tc>
          <w:tcPr>
            <w:tcW w:w="2268" w:type="dxa"/>
            <w:tcBorders>
              <w:top w:val="single" w:sz="4" w:space="0" w:color="auto"/>
              <w:left w:val="nil"/>
              <w:bottom w:val="single" w:sz="4" w:space="0" w:color="auto"/>
              <w:right w:val="single" w:sz="4" w:space="0" w:color="auto"/>
            </w:tcBorders>
            <w:vAlign w:val="center"/>
          </w:tcPr>
          <w:p w:rsidR="00754108" w:rsidRPr="00754108" w:rsidRDefault="001345A1" w:rsidP="00754108">
            <w:pPr>
              <w:snapToGrid w:val="0"/>
              <w:spacing w:line="360" w:lineRule="auto"/>
              <w:jc w:val="right"/>
              <w:rPr>
                <w:rFonts w:ascii="宋体" w:eastAsia="宋体" w:hAnsi="宋体" w:cs="Times New Roman"/>
                <w:kern w:val="0"/>
                <w:sz w:val="24"/>
                <w:szCs w:val="24"/>
              </w:rPr>
            </w:pPr>
            <w:r>
              <w:rPr>
                <w:rFonts w:ascii="宋体" w:eastAsia="宋体" w:hAnsi="宋体" w:cs="Times New Roman" w:hint="eastAsia"/>
                <w:kern w:val="0"/>
                <w:sz w:val="24"/>
                <w:szCs w:val="24"/>
              </w:rPr>
              <w:t>1,690,000</w:t>
            </w:r>
          </w:p>
        </w:tc>
        <w:tc>
          <w:tcPr>
            <w:tcW w:w="2118" w:type="dxa"/>
            <w:tcBorders>
              <w:top w:val="single" w:sz="4" w:space="0" w:color="auto"/>
              <w:left w:val="nil"/>
              <w:bottom w:val="single" w:sz="4" w:space="0" w:color="auto"/>
              <w:right w:val="single" w:sz="4" w:space="0" w:color="auto"/>
            </w:tcBorders>
            <w:vAlign w:val="center"/>
            <w:hideMark/>
          </w:tcPr>
          <w:p w:rsidR="00754108" w:rsidRPr="00754108" w:rsidRDefault="00754108" w:rsidP="00754108">
            <w:pPr>
              <w:snapToGrid w:val="0"/>
              <w:spacing w:line="360" w:lineRule="auto"/>
              <w:jc w:val="right"/>
              <w:rPr>
                <w:rFonts w:ascii="宋体" w:eastAsia="宋体" w:hAnsi="宋体" w:cs="Times New Roman"/>
                <w:kern w:val="0"/>
                <w:sz w:val="24"/>
                <w:szCs w:val="24"/>
              </w:rPr>
            </w:pPr>
            <w:r>
              <w:rPr>
                <w:rFonts w:ascii="宋体" w:eastAsia="宋体" w:hAnsi="宋体" w:cs="Times New Roman" w:hint="eastAsia"/>
                <w:kern w:val="0"/>
                <w:sz w:val="24"/>
                <w:szCs w:val="24"/>
              </w:rPr>
              <w:t>158,490,000</w:t>
            </w:r>
          </w:p>
        </w:tc>
      </w:tr>
    </w:tbl>
    <w:p w:rsidR="00592ABA" w:rsidRPr="00592ABA" w:rsidRDefault="00592ABA" w:rsidP="00592ABA">
      <w:pPr>
        <w:spacing w:beforeLines="50" w:before="156" w:afterLines="50" w:after="156" w:line="360" w:lineRule="auto"/>
        <w:ind w:right="-153" w:firstLineChars="200" w:firstLine="482"/>
        <w:jc w:val="left"/>
        <w:rPr>
          <w:rFonts w:ascii="宋体" w:eastAsia="宋体" w:hAnsi="宋体" w:cs="Times New Roman"/>
          <w:b/>
          <w:sz w:val="24"/>
          <w:szCs w:val="24"/>
        </w:rPr>
      </w:pPr>
      <w:r w:rsidRPr="00592ABA">
        <w:rPr>
          <w:rFonts w:ascii="宋体" w:eastAsia="宋体" w:hAnsi="宋体" w:cs="Times New Roman" w:hint="eastAsia"/>
          <w:b/>
          <w:sz w:val="24"/>
          <w:szCs w:val="24"/>
        </w:rPr>
        <w:t>七、本次募集资金使用计划</w:t>
      </w:r>
    </w:p>
    <w:p w:rsidR="00592ABA" w:rsidRDefault="00592ABA" w:rsidP="00592ABA">
      <w:pPr>
        <w:spacing w:line="360" w:lineRule="auto"/>
        <w:ind w:right="-153" w:firstLineChars="200" w:firstLine="480"/>
        <w:jc w:val="left"/>
        <w:rPr>
          <w:rFonts w:ascii="宋体" w:eastAsia="宋体" w:hAnsi="宋体" w:cs="Times New Roman"/>
          <w:sz w:val="24"/>
          <w:szCs w:val="24"/>
        </w:rPr>
      </w:pPr>
      <w:r w:rsidRPr="00592ABA">
        <w:rPr>
          <w:rFonts w:ascii="宋体" w:eastAsia="宋体" w:hAnsi="宋体" w:cs="Times New Roman" w:hint="eastAsia"/>
          <w:sz w:val="24"/>
          <w:szCs w:val="24"/>
        </w:rPr>
        <w:t>公司本次向激励对象定向发行公司A 股普通股所筹集资金将全部用于补充公司流动资金</w:t>
      </w:r>
      <w:r>
        <w:rPr>
          <w:rFonts w:ascii="宋体" w:eastAsia="宋体" w:hAnsi="宋体" w:cs="Times New Roman" w:hint="eastAsia"/>
          <w:sz w:val="24"/>
          <w:szCs w:val="24"/>
        </w:rPr>
        <w:t>。</w:t>
      </w:r>
      <w:bookmarkStart w:id="1" w:name="_GoBack"/>
      <w:bookmarkEnd w:id="1"/>
    </w:p>
    <w:p w:rsidR="00592ABA" w:rsidRPr="00592ABA" w:rsidRDefault="00592ABA" w:rsidP="00592ABA">
      <w:pPr>
        <w:spacing w:line="360" w:lineRule="auto"/>
        <w:ind w:right="-153" w:firstLineChars="200" w:firstLine="482"/>
        <w:jc w:val="left"/>
        <w:rPr>
          <w:rFonts w:ascii="宋体" w:eastAsia="宋体" w:hAnsi="宋体" w:cs="Times New Roman"/>
          <w:b/>
          <w:sz w:val="24"/>
          <w:szCs w:val="24"/>
        </w:rPr>
      </w:pPr>
      <w:r w:rsidRPr="00592ABA">
        <w:rPr>
          <w:rFonts w:ascii="宋体" w:eastAsia="宋体" w:hAnsi="宋体" w:cs="Times New Roman" w:hint="eastAsia"/>
          <w:b/>
          <w:sz w:val="24"/>
          <w:szCs w:val="24"/>
        </w:rPr>
        <w:t>八、本次授予后新增股份对最近一期财务报告的影响</w:t>
      </w:r>
    </w:p>
    <w:p w:rsidR="005F334F" w:rsidRDefault="00751F51">
      <w:pPr>
        <w:spacing w:line="360" w:lineRule="auto"/>
        <w:ind w:right="-153" w:firstLineChars="200" w:firstLine="480"/>
        <w:jc w:val="left"/>
        <w:rPr>
          <w:rFonts w:ascii="Times New Roman" w:eastAsia="宋体" w:hAnsi="Times New Roman" w:cs="Times New Roman"/>
          <w:sz w:val="24"/>
          <w:szCs w:val="24"/>
        </w:rPr>
      </w:pPr>
      <w:r>
        <w:rPr>
          <w:rFonts w:ascii="宋体" w:eastAsia="宋体" w:hAnsi="宋体" w:cs="Times New Roman" w:hint="eastAsia"/>
          <w:sz w:val="24"/>
          <w:szCs w:val="24"/>
        </w:rPr>
        <w:t>根据《企业会计准则第11号——股份支付》和《企业会计准则第22号——金融工具确认和计量》中关于公允价值确定的相关规定，本激励计划限制性股票的授予对公司相关年度的</w:t>
      </w:r>
      <w:r w:rsidR="007554E7">
        <w:rPr>
          <w:rFonts w:ascii="宋体" w:eastAsia="宋体" w:hAnsi="宋体" w:cs="Times New Roman" w:hint="eastAsia"/>
          <w:sz w:val="24"/>
          <w:szCs w:val="24"/>
        </w:rPr>
        <w:t>财务状况和经营成果将产生一定的影响。董事会已确定本激励计划的</w:t>
      </w:r>
      <w:r>
        <w:rPr>
          <w:rFonts w:ascii="宋体" w:eastAsia="宋体" w:hAnsi="宋体" w:cs="Times New Roman" w:hint="eastAsia"/>
          <w:sz w:val="24"/>
          <w:szCs w:val="24"/>
        </w:rPr>
        <w:t>授予日为2020年9月1日，将根据授予日限制性股票的公允价值确认激励成本</w:t>
      </w:r>
      <w:r>
        <w:rPr>
          <w:rFonts w:ascii="宋体" w:eastAsia="宋体" w:hAnsi="宋体" w:cs="Times New Roman"/>
          <w:sz w:val="24"/>
          <w:szCs w:val="24"/>
        </w:rPr>
        <w:t>。</w:t>
      </w:r>
    </w:p>
    <w:p w:rsidR="005F334F" w:rsidRDefault="00751F51">
      <w:pPr>
        <w:spacing w:line="360" w:lineRule="auto"/>
        <w:ind w:right="-153" w:firstLineChars="200" w:firstLine="480"/>
        <w:jc w:val="left"/>
        <w:rPr>
          <w:rFonts w:ascii="Times New Roman" w:eastAsia="宋体" w:hAnsi="Times New Roman" w:cs="Times New Roman"/>
          <w:sz w:val="24"/>
          <w:szCs w:val="24"/>
        </w:rPr>
      </w:pPr>
      <w:r>
        <w:rPr>
          <w:rFonts w:ascii="宋体" w:eastAsia="宋体" w:hAnsi="宋体" w:cs="Times New Roman" w:hint="eastAsia"/>
          <w:sz w:val="24"/>
          <w:szCs w:val="24"/>
        </w:rPr>
        <w:t>经测算，本激励计划授予的限制性股票激励成本</w:t>
      </w:r>
      <w:r w:rsidRPr="00D45209">
        <w:rPr>
          <w:rFonts w:ascii="宋体" w:eastAsia="宋体" w:hAnsi="宋体" w:cs="Times New Roman" w:hint="eastAsia"/>
          <w:sz w:val="24"/>
          <w:szCs w:val="24"/>
        </w:rPr>
        <w:t>合计为</w:t>
      </w:r>
      <w:r w:rsidR="00D45209" w:rsidRPr="00D45209">
        <w:rPr>
          <w:rFonts w:ascii="宋体" w:eastAsia="宋体" w:hAnsi="宋体" w:cs="Times New Roman"/>
          <w:sz w:val="24"/>
          <w:szCs w:val="24"/>
        </w:rPr>
        <w:t>1,874.2</w:t>
      </w:r>
      <w:r w:rsidR="00D45209" w:rsidRPr="00D45209">
        <w:rPr>
          <w:rFonts w:ascii="宋体" w:eastAsia="宋体" w:hAnsi="宋体" w:cs="Times New Roman" w:hint="eastAsia"/>
          <w:sz w:val="24"/>
          <w:szCs w:val="24"/>
        </w:rPr>
        <w:t>2</w:t>
      </w:r>
      <w:r w:rsidRPr="00D45209">
        <w:rPr>
          <w:rFonts w:ascii="宋体" w:eastAsia="宋体" w:hAnsi="宋体" w:cs="Times New Roman" w:hint="eastAsia"/>
          <w:sz w:val="24"/>
          <w:szCs w:val="24"/>
        </w:rPr>
        <w:t>万元，对</w:t>
      </w:r>
      <w:r>
        <w:rPr>
          <w:rFonts w:ascii="宋体" w:eastAsia="宋体" w:hAnsi="宋体" w:cs="Times New Roman" w:hint="eastAsia"/>
          <w:sz w:val="24"/>
          <w:szCs w:val="24"/>
        </w:rPr>
        <w:t>各期会计成本的影响如下表所示</w:t>
      </w:r>
      <w:r>
        <w:rPr>
          <w:rFonts w:ascii="宋体" w:eastAsia="宋体" w:hAnsi="宋体" w:cs="Times New Roman"/>
          <w:sz w:val="24"/>
          <w:szCs w:val="24"/>
        </w:rPr>
        <w:t>：</w:t>
      </w: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638"/>
        <w:gridCol w:w="1395"/>
        <w:gridCol w:w="1348"/>
        <w:gridCol w:w="1347"/>
        <w:gridCol w:w="1135"/>
      </w:tblGrid>
      <w:tr w:rsidR="005F334F">
        <w:trPr>
          <w:trHeight w:val="735"/>
        </w:trPr>
        <w:tc>
          <w:tcPr>
            <w:tcW w:w="1845" w:type="dxa"/>
            <w:tcBorders>
              <w:top w:val="single" w:sz="4" w:space="0" w:color="auto"/>
              <w:left w:val="single" w:sz="4" w:space="0" w:color="auto"/>
              <w:bottom w:val="single" w:sz="4" w:space="0" w:color="auto"/>
              <w:right w:val="single" w:sz="4" w:space="0" w:color="auto"/>
            </w:tcBorders>
            <w:shd w:val="clear" w:color="auto" w:fill="BFBFBF"/>
            <w:vAlign w:val="center"/>
          </w:tcPr>
          <w:p w:rsidR="005F334F" w:rsidRDefault="00751F51">
            <w:pPr>
              <w:adjustRightInd w:val="0"/>
              <w:snapToGrid w:val="0"/>
              <w:spacing w:line="360" w:lineRule="auto"/>
              <w:jc w:val="center"/>
              <w:rPr>
                <w:rFonts w:ascii="Times New Roman" w:eastAsia="宋体" w:hAnsi="Times New Roman" w:cs="Times New Roman"/>
                <w:b/>
                <w:bCs/>
                <w:szCs w:val="21"/>
              </w:rPr>
            </w:pPr>
            <w:bookmarkStart w:id="2" w:name="_Hlk532214095"/>
            <w:r>
              <w:rPr>
                <w:rFonts w:ascii="Times New Roman" w:eastAsia="宋体" w:hAnsi="Times New Roman" w:cs="Times New Roman"/>
                <w:b/>
                <w:bCs/>
                <w:szCs w:val="21"/>
              </w:rPr>
              <w:t>限制性股票数量（万股）</w:t>
            </w:r>
            <w:bookmarkEnd w:id="2"/>
          </w:p>
        </w:tc>
        <w:tc>
          <w:tcPr>
            <w:tcW w:w="1638" w:type="dxa"/>
            <w:tcBorders>
              <w:top w:val="single" w:sz="4" w:space="0" w:color="auto"/>
              <w:left w:val="nil"/>
              <w:bottom w:val="single" w:sz="4" w:space="0" w:color="auto"/>
              <w:right w:val="single" w:sz="4" w:space="0" w:color="auto"/>
            </w:tcBorders>
            <w:shd w:val="clear" w:color="auto" w:fill="BFBFBF"/>
            <w:vAlign w:val="center"/>
          </w:tcPr>
          <w:p w:rsidR="005F334F" w:rsidRDefault="00751F51">
            <w:pPr>
              <w:spacing w:line="360" w:lineRule="auto"/>
              <w:ind w:leftChars="-53" w:left="-111" w:right="-102"/>
              <w:jc w:val="center"/>
              <w:rPr>
                <w:rFonts w:ascii="Times New Roman" w:eastAsia="宋体" w:hAnsi="Times New Roman" w:cs="Times New Roman"/>
                <w:b/>
                <w:bCs/>
                <w:szCs w:val="21"/>
              </w:rPr>
            </w:pPr>
            <w:r>
              <w:rPr>
                <w:rFonts w:ascii="Times New Roman" w:eastAsia="宋体" w:hAnsi="Times New Roman" w:cs="Times New Roman"/>
                <w:b/>
                <w:bCs/>
                <w:szCs w:val="21"/>
              </w:rPr>
              <w:t>需摊销的总费用（万元）</w:t>
            </w:r>
          </w:p>
        </w:tc>
        <w:tc>
          <w:tcPr>
            <w:tcW w:w="1395" w:type="dxa"/>
            <w:tcBorders>
              <w:top w:val="single" w:sz="4" w:space="0" w:color="auto"/>
              <w:left w:val="nil"/>
              <w:bottom w:val="single" w:sz="4" w:space="0" w:color="auto"/>
              <w:right w:val="single" w:sz="4" w:space="0" w:color="auto"/>
            </w:tcBorders>
            <w:shd w:val="clear" w:color="auto" w:fill="BFBFBF"/>
            <w:vAlign w:val="center"/>
          </w:tcPr>
          <w:p w:rsidR="005F334F" w:rsidRDefault="00751F51">
            <w:pPr>
              <w:spacing w:line="360" w:lineRule="auto"/>
              <w:ind w:right="-153"/>
              <w:jc w:val="center"/>
              <w:rPr>
                <w:rFonts w:asciiTheme="minorEastAsia" w:hAnsiTheme="minorEastAsia" w:cs="Times New Roman"/>
                <w:b/>
                <w:bCs/>
                <w:szCs w:val="21"/>
              </w:rPr>
            </w:pPr>
            <w:r>
              <w:rPr>
                <w:rFonts w:asciiTheme="minorEastAsia" w:hAnsiTheme="minorEastAsia" w:cs="Times New Roman"/>
                <w:b/>
                <w:bCs/>
                <w:szCs w:val="21"/>
              </w:rPr>
              <w:t>20</w:t>
            </w:r>
            <w:r>
              <w:rPr>
                <w:rFonts w:asciiTheme="minorEastAsia" w:hAnsiTheme="minorEastAsia" w:cs="宋体" w:hint="eastAsia"/>
                <w:b/>
                <w:bCs/>
                <w:szCs w:val="21"/>
              </w:rPr>
              <w:t>20</w:t>
            </w:r>
            <w:r>
              <w:rPr>
                <w:rFonts w:asciiTheme="minorEastAsia" w:hAnsiTheme="minorEastAsia" w:cs="Times New Roman"/>
                <w:b/>
                <w:bCs/>
                <w:szCs w:val="21"/>
              </w:rPr>
              <w:t>年</w:t>
            </w:r>
          </w:p>
          <w:p w:rsidR="005F334F" w:rsidRDefault="00751F51">
            <w:pPr>
              <w:spacing w:line="360" w:lineRule="auto"/>
              <w:ind w:right="-153"/>
              <w:jc w:val="center"/>
              <w:rPr>
                <w:rFonts w:asciiTheme="minorEastAsia" w:hAnsiTheme="minorEastAsia" w:cs="Times New Roman"/>
                <w:b/>
                <w:bCs/>
                <w:szCs w:val="21"/>
              </w:rPr>
            </w:pPr>
            <w:r>
              <w:rPr>
                <w:rFonts w:asciiTheme="minorEastAsia" w:hAnsiTheme="minorEastAsia" w:cs="Times New Roman"/>
                <w:b/>
                <w:bCs/>
                <w:szCs w:val="21"/>
              </w:rPr>
              <w:t>（万元）</w:t>
            </w:r>
          </w:p>
        </w:tc>
        <w:tc>
          <w:tcPr>
            <w:tcW w:w="1348" w:type="dxa"/>
            <w:tcBorders>
              <w:top w:val="single" w:sz="4" w:space="0" w:color="auto"/>
              <w:left w:val="nil"/>
              <w:bottom w:val="single" w:sz="4" w:space="0" w:color="auto"/>
              <w:right w:val="single" w:sz="4" w:space="0" w:color="auto"/>
            </w:tcBorders>
            <w:shd w:val="clear" w:color="auto" w:fill="BFBFBF"/>
            <w:vAlign w:val="center"/>
          </w:tcPr>
          <w:p w:rsidR="005F334F" w:rsidRDefault="00751F51">
            <w:pPr>
              <w:spacing w:line="360" w:lineRule="auto"/>
              <w:ind w:right="-153"/>
              <w:jc w:val="center"/>
              <w:rPr>
                <w:rFonts w:asciiTheme="minorEastAsia" w:hAnsiTheme="minorEastAsia" w:cs="Times New Roman"/>
                <w:b/>
                <w:bCs/>
                <w:szCs w:val="21"/>
              </w:rPr>
            </w:pPr>
            <w:r>
              <w:rPr>
                <w:rFonts w:asciiTheme="minorEastAsia" w:hAnsiTheme="minorEastAsia" w:cs="Times New Roman"/>
                <w:b/>
                <w:bCs/>
                <w:szCs w:val="21"/>
              </w:rPr>
              <w:t>20</w:t>
            </w:r>
            <w:r>
              <w:rPr>
                <w:rFonts w:asciiTheme="minorEastAsia" w:hAnsiTheme="minorEastAsia" w:cs="宋体" w:hint="eastAsia"/>
                <w:b/>
                <w:bCs/>
                <w:szCs w:val="21"/>
              </w:rPr>
              <w:t>21</w:t>
            </w:r>
            <w:r>
              <w:rPr>
                <w:rFonts w:asciiTheme="minorEastAsia" w:hAnsiTheme="minorEastAsia" w:cs="Times New Roman"/>
                <w:b/>
                <w:bCs/>
                <w:szCs w:val="21"/>
              </w:rPr>
              <w:t>年</w:t>
            </w:r>
          </w:p>
          <w:p w:rsidR="005F334F" w:rsidRDefault="00751F51">
            <w:pPr>
              <w:spacing w:line="360" w:lineRule="auto"/>
              <w:ind w:right="-153"/>
              <w:jc w:val="center"/>
              <w:rPr>
                <w:rFonts w:asciiTheme="minorEastAsia" w:hAnsiTheme="minorEastAsia" w:cs="Times New Roman"/>
                <w:b/>
                <w:bCs/>
                <w:szCs w:val="21"/>
              </w:rPr>
            </w:pPr>
            <w:r>
              <w:rPr>
                <w:rFonts w:asciiTheme="minorEastAsia" w:hAnsiTheme="minorEastAsia" w:cs="Times New Roman"/>
                <w:b/>
                <w:bCs/>
                <w:szCs w:val="21"/>
              </w:rPr>
              <w:t>（万元）</w:t>
            </w:r>
          </w:p>
        </w:tc>
        <w:tc>
          <w:tcPr>
            <w:tcW w:w="1347" w:type="dxa"/>
            <w:tcBorders>
              <w:top w:val="single" w:sz="4" w:space="0" w:color="auto"/>
              <w:left w:val="nil"/>
              <w:bottom w:val="single" w:sz="4" w:space="0" w:color="auto"/>
              <w:right w:val="single" w:sz="4" w:space="0" w:color="auto"/>
            </w:tcBorders>
            <w:shd w:val="clear" w:color="auto" w:fill="BFBFBF"/>
            <w:vAlign w:val="center"/>
          </w:tcPr>
          <w:p w:rsidR="005F334F" w:rsidRDefault="00751F51">
            <w:pPr>
              <w:spacing w:line="360" w:lineRule="auto"/>
              <w:ind w:right="-153"/>
              <w:jc w:val="center"/>
              <w:rPr>
                <w:rFonts w:asciiTheme="minorEastAsia" w:hAnsiTheme="minorEastAsia" w:cs="Times New Roman"/>
                <w:b/>
                <w:bCs/>
                <w:szCs w:val="21"/>
              </w:rPr>
            </w:pPr>
            <w:r>
              <w:rPr>
                <w:rFonts w:asciiTheme="minorEastAsia" w:hAnsiTheme="minorEastAsia" w:cs="Times New Roman"/>
                <w:b/>
                <w:bCs/>
                <w:szCs w:val="21"/>
              </w:rPr>
              <w:t>202</w:t>
            </w:r>
            <w:r>
              <w:rPr>
                <w:rFonts w:asciiTheme="minorEastAsia" w:hAnsiTheme="minorEastAsia" w:cs="宋体" w:hint="eastAsia"/>
                <w:b/>
                <w:bCs/>
                <w:szCs w:val="21"/>
              </w:rPr>
              <w:t>2</w:t>
            </w:r>
            <w:r>
              <w:rPr>
                <w:rFonts w:asciiTheme="minorEastAsia" w:hAnsiTheme="minorEastAsia" w:cs="Times New Roman"/>
                <w:b/>
                <w:bCs/>
                <w:szCs w:val="21"/>
              </w:rPr>
              <w:t>年</w:t>
            </w:r>
          </w:p>
          <w:p w:rsidR="005F334F" w:rsidRDefault="00751F51">
            <w:pPr>
              <w:spacing w:line="360" w:lineRule="auto"/>
              <w:ind w:right="-153"/>
              <w:jc w:val="center"/>
              <w:rPr>
                <w:rFonts w:asciiTheme="minorEastAsia" w:hAnsiTheme="minorEastAsia" w:cs="Times New Roman"/>
                <w:b/>
                <w:bCs/>
                <w:szCs w:val="21"/>
              </w:rPr>
            </w:pPr>
            <w:r>
              <w:rPr>
                <w:rFonts w:asciiTheme="minorEastAsia" w:hAnsiTheme="minorEastAsia" w:cs="Times New Roman"/>
                <w:b/>
                <w:bCs/>
                <w:szCs w:val="21"/>
              </w:rPr>
              <w:t>（万元）</w:t>
            </w:r>
          </w:p>
        </w:tc>
        <w:tc>
          <w:tcPr>
            <w:tcW w:w="1135" w:type="dxa"/>
            <w:tcBorders>
              <w:top w:val="single" w:sz="4" w:space="0" w:color="auto"/>
              <w:left w:val="nil"/>
              <w:bottom w:val="single" w:sz="4" w:space="0" w:color="auto"/>
              <w:right w:val="single" w:sz="4" w:space="0" w:color="auto"/>
            </w:tcBorders>
            <w:shd w:val="clear" w:color="auto" w:fill="BFBFBF"/>
            <w:vAlign w:val="center"/>
          </w:tcPr>
          <w:p w:rsidR="005F334F" w:rsidRDefault="00751F51">
            <w:pPr>
              <w:spacing w:line="360" w:lineRule="auto"/>
              <w:ind w:right="-153"/>
              <w:jc w:val="center"/>
              <w:rPr>
                <w:rFonts w:asciiTheme="minorEastAsia" w:hAnsiTheme="minorEastAsia" w:cs="Times New Roman"/>
                <w:b/>
                <w:bCs/>
                <w:szCs w:val="21"/>
              </w:rPr>
            </w:pPr>
            <w:r>
              <w:rPr>
                <w:rFonts w:asciiTheme="minorEastAsia" w:hAnsiTheme="minorEastAsia" w:cs="Times New Roman"/>
                <w:b/>
                <w:bCs/>
                <w:szCs w:val="21"/>
              </w:rPr>
              <w:t>2023年</w:t>
            </w:r>
          </w:p>
          <w:p w:rsidR="005F334F" w:rsidRDefault="00751F51">
            <w:pPr>
              <w:spacing w:line="360" w:lineRule="auto"/>
              <w:ind w:right="-153"/>
              <w:jc w:val="center"/>
              <w:rPr>
                <w:rFonts w:asciiTheme="minorEastAsia" w:hAnsiTheme="minorEastAsia" w:cs="Times New Roman"/>
                <w:b/>
                <w:bCs/>
                <w:szCs w:val="21"/>
              </w:rPr>
            </w:pPr>
            <w:r>
              <w:rPr>
                <w:rFonts w:asciiTheme="minorEastAsia" w:hAnsiTheme="minorEastAsia" w:cs="Times New Roman"/>
                <w:b/>
                <w:bCs/>
                <w:szCs w:val="21"/>
              </w:rPr>
              <w:t>（万元）</w:t>
            </w:r>
          </w:p>
        </w:tc>
      </w:tr>
      <w:tr w:rsidR="005F334F">
        <w:trPr>
          <w:trHeight w:val="437"/>
        </w:trPr>
        <w:tc>
          <w:tcPr>
            <w:tcW w:w="1845" w:type="dxa"/>
            <w:tcBorders>
              <w:top w:val="single" w:sz="4" w:space="0" w:color="auto"/>
              <w:left w:val="single" w:sz="4" w:space="0" w:color="auto"/>
              <w:bottom w:val="single" w:sz="4" w:space="0" w:color="auto"/>
              <w:right w:val="single" w:sz="4" w:space="0" w:color="auto"/>
            </w:tcBorders>
            <w:vAlign w:val="center"/>
          </w:tcPr>
          <w:p w:rsidR="005F334F" w:rsidRDefault="00751F51">
            <w:pPr>
              <w:widowControl/>
              <w:spacing w:line="360" w:lineRule="auto"/>
              <w:jc w:val="center"/>
              <w:rPr>
                <w:rFonts w:asciiTheme="minorEastAsia" w:hAnsiTheme="minorEastAsia" w:cs="宋体"/>
                <w:kern w:val="0"/>
                <w:szCs w:val="21"/>
              </w:rPr>
            </w:pPr>
            <w:r>
              <w:rPr>
                <w:rFonts w:asciiTheme="minorEastAsia" w:hAnsiTheme="minorEastAsia" w:cs="Times New Roman"/>
                <w:kern w:val="0"/>
                <w:szCs w:val="21"/>
              </w:rPr>
              <w:t>169</w:t>
            </w:r>
          </w:p>
        </w:tc>
        <w:tc>
          <w:tcPr>
            <w:tcW w:w="1638" w:type="dxa"/>
            <w:tcBorders>
              <w:top w:val="single" w:sz="4" w:space="0" w:color="auto"/>
              <w:left w:val="nil"/>
              <w:bottom w:val="single" w:sz="4" w:space="0" w:color="auto"/>
              <w:right w:val="single" w:sz="4" w:space="0" w:color="auto"/>
            </w:tcBorders>
            <w:vAlign w:val="center"/>
          </w:tcPr>
          <w:p w:rsidR="005F334F" w:rsidRDefault="00D45209">
            <w:pPr>
              <w:widowControl/>
              <w:spacing w:line="360" w:lineRule="auto"/>
              <w:jc w:val="center"/>
              <w:rPr>
                <w:rFonts w:asciiTheme="minorEastAsia" w:hAnsiTheme="minorEastAsia" w:cs="Times New Roman"/>
                <w:kern w:val="0"/>
                <w:szCs w:val="21"/>
                <w:highlight w:val="yellow"/>
              </w:rPr>
            </w:pPr>
            <w:r w:rsidRPr="00D45209">
              <w:rPr>
                <w:rFonts w:asciiTheme="minorEastAsia" w:hAnsiTheme="minorEastAsia" w:cs="Times New Roman"/>
                <w:kern w:val="0"/>
                <w:szCs w:val="21"/>
              </w:rPr>
              <w:t>1,874.22</w:t>
            </w:r>
          </w:p>
        </w:tc>
        <w:tc>
          <w:tcPr>
            <w:tcW w:w="1395" w:type="dxa"/>
            <w:tcBorders>
              <w:top w:val="single" w:sz="4" w:space="0" w:color="auto"/>
              <w:left w:val="nil"/>
              <w:bottom w:val="single" w:sz="4" w:space="0" w:color="auto"/>
              <w:right w:val="single" w:sz="4" w:space="0" w:color="auto"/>
            </w:tcBorders>
            <w:vAlign w:val="center"/>
          </w:tcPr>
          <w:p w:rsidR="005F334F" w:rsidRDefault="00D45209">
            <w:pPr>
              <w:spacing w:line="360" w:lineRule="auto"/>
              <w:jc w:val="center"/>
              <w:rPr>
                <w:rFonts w:asciiTheme="minorEastAsia" w:hAnsiTheme="minorEastAsia" w:cs="Times New Roman"/>
                <w:szCs w:val="21"/>
                <w:highlight w:val="yellow"/>
              </w:rPr>
            </w:pPr>
            <w:r w:rsidRPr="00D45209">
              <w:rPr>
                <w:rFonts w:asciiTheme="minorEastAsia" w:hAnsiTheme="minorEastAsia" w:cs="Times New Roman"/>
                <w:szCs w:val="21"/>
              </w:rPr>
              <w:t>364.43</w:t>
            </w:r>
          </w:p>
        </w:tc>
        <w:tc>
          <w:tcPr>
            <w:tcW w:w="1348" w:type="dxa"/>
            <w:tcBorders>
              <w:top w:val="single" w:sz="4" w:space="0" w:color="auto"/>
              <w:left w:val="nil"/>
              <w:bottom w:val="single" w:sz="4" w:space="0" w:color="auto"/>
              <w:right w:val="single" w:sz="4" w:space="0" w:color="auto"/>
            </w:tcBorders>
            <w:vAlign w:val="center"/>
          </w:tcPr>
          <w:p w:rsidR="005F334F" w:rsidRDefault="00D45209">
            <w:pPr>
              <w:spacing w:line="360" w:lineRule="auto"/>
              <w:jc w:val="center"/>
              <w:rPr>
                <w:rFonts w:asciiTheme="minorEastAsia" w:hAnsiTheme="minorEastAsia" w:cs="Times New Roman"/>
                <w:szCs w:val="21"/>
                <w:highlight w:val="yellow"/>
              </w:rPr>
            </w:pPr>
            <w:r w:rsidRPr="00D45209">
              <w:rPr>
                <w:rFonts w:asciiTheme="minorEastAsia" w:hAnsiTheme="minorEastAsia" w:cs="Times New Roman"/>
                <w:szCs w:val="21"/>
              </w:rPr>
              <w:t>905.87</w:t>
            </w:r>
          </w:p>
        </w:tc>
        <w:tc>
          <w:tcPr>
            <w:tcW w:w="1347" w:type="dxa"/>
            <w:tcBorders>
              <w:top w:val="single" w:sz="4" w:space="0" w:color="auto"/>
              <w:left w:val="nil"/>
              <w:bottom w:val="single" w:sz="4" w:space="0" w:color="auto"/>
              <w:right w:val="single" w:sz="4" w:space="0" w:color="auto"/>
            </w:tcBorders>
            <w:vAlign w:val="center"/>
          </w:tcPr>
          <w:p w:rsidR="005F334F" w:rsidRDefault="00D45209">
            <w:pPr>
              <w:spacing w:line="360" w:lineRule="auto"/>
              <w:jc w:val="center"/>
              <w:rPr>
                <w:rFonts w:asciiTheme="minorEastAsia" w:hAnsiTheme="minorEastAsia" w:cs="Times New Roman"/>
                <w:szCs w:val="21"/>
                <w:highlight w:val="yellow"/>
              </w:rPr>
            </w:pPr>
            <w:r w:rsidRPr="00D45209">
              <w:rPr>
                <w:rFonts w:asciiTheme="minorEastAsia" w:hAnsiTheme="minorEastAsia" w:cs="Times New Roman"/>
                <w:szCs w:val="21"/>
              </w:rPr>
              <w:t>437.32</w:t>
            </w:r>
          </w:p>
        </w:tc>
        <w:tc>
          <w:tcPr>
            <w:tcW w:w="1135" w:type="dxa"/>
            <w:tcBorders>
              <w:top w:val="single" w:sz="4" w:space="0" w:color="auto"/>
              <w:left w:val="nil"/>
              <w:bottom w:val="single" w:sz="4" w:space="0" w:color="auto"/>
              <w:right w:val="single" w:sz="4" w:space="0" w:color="auto"/>
            </w:tcBorders>
            <w:vAlign w:val="center"/>
          </w:tcPr>
          <w:p w:rsidR="005F334F" w:rsidRDefault="00D45209">
            <w:pPr>
              <w:spacing w:line="360" w:lineRule="auto"/>
              <w:jc w:val="center"/>
              <w:rPr>
                <w:rFonts w:asciiTheme="minorEastAsia" w:hAnsiTheme="minorEastAsia" w:cs="Times New Roman"/>
                <w:szCs w:val="21"/>
                <w:highlight w:val="yellow"/>
              </w:rPr>
            </w:pPr>
            <w:r w:rsidRPr="00D45209">
              <w:rPr>
                <w:rFonts w:asciiTheme="minorEastAsia" w:hAnsiTheme="minorEastAsia" w:cs="Times New Roman"/>
                <w:szCs w:val="21"/>
              </w:rPr>
              <w:t>166.60</w:t>
            </w:r>
          </w:p>
        </w:tc>
      </w:tr>
    </w:tbl>
    <w:p w:rsidR="005F334F" w:rsidRDefault="00751F51">
      <w:pPr>
        <w:spacing w:line="360" w:lineRule="auto"/>
        <w:ind w:firstLineChars="200" w:firstLine="360"/>
        <w:rPr>
          <w:rFonts w:ascii="宋体" w:eastAsia="宋体" w:hAnsi="宋体" w:cs="Times New Roman"/>
          <w:sz w:val="18"/>
          <w:szCs w:val="18"/>
        </w:rPr>
      </w:pPr>
      <w:r>
        <w:rPr>
          <w:rFonts w:ascii="宋体" w:eastAsia="宋体" w:hAnsi="宋体" w:cs="Times New Roman" w:hint="eastAsia"/>
          <w:sz w:val="18"/>
          <w:szCs w:val="18"/>
        </w:rPr>
        <w:t>注：1</w:t>
      </w:r>
      <w:r w:rsidR="00A71EB6">
        <w:rPr>
          <w:rFonts w:ascii="宋体" w:eastAsia="宋体" w:hAnsi="宋体" w:cs="Times New Roman" w:hint="eastAsia"/>
          <w:sz w:val="18"/>
          <w:szCs w:val="18"/>
        </w:rPr>
        <w:t>、上述结果并不代表最终的会计成本。实际会计成本除了与</w:t>
      </w:r>
      <w:r>
        <w:rPr>
          <w:rFonts w:ascii="宋体" w:eastAsia="宋体" w:hAnsi="宋体" w:cs="Times New Roman" w:hint="eastAsia"/>
          <w:sz w:val="18"/>
          <w:szCs w:val="18"/>
        </w:rPr>
        <w:t>授予日、授予价格和授予数量相关，还与实际生效和失效的数量有关，同时提请股东注意可能产生的摊薄影响。</w:t>
      </w:r>
    </w:p>
    <w:p w:rsidR="005F334F" w:rsidRDefault="00751F51">
      <w:pPr>
        <w:spacing w:line="360" w:lineRule="auto"/>
        <w:ind w:firstLineChars="200" w:firstLine="360"/>
        <w:rPr>
          <w:rFonts w:ascii="宋体" w:eastAsia="宋体" w:hAnsi="宋体" w:cs="Times New Roman"/>
          <w:sz w:val="18"/>
          <w:szCs w:val="18"/>
        </w:rPr>
      </w:pPr>
      <w:r>
        <w:rPr>
          <w:rFonts w:ascii="宋体" w:eastAsia="宋体" w:hAnsi="宋体" w:cs="Times New Roman" w:hint="eastAsia"/>
          <w:sz w:val="18"/>
          <w:szCs w:val="18"/>
        </w:rPr>
        <w:t>2、上述对公司经营成果的影响最终结果将以会计师事务所出具的年度审计报告为准。</w:t>
      </w:r>
    </w:p>
    <w:p w:rsidR="005F334F" w:rsidRDefault="00751F51">
      <w:pPr>
        <w:spacing w:line="360" w:lineRule="auto"/>
        <w:ind w:firstLineChars="200" w:firstLine="360"/>
        <w:rPr>
          <w:rFonts w:ascii="宋体" w:eastAsia="宋体" w:hAnsi="宋体" w:cs="Times New Roman"/>
          <w:sz w:val="18"/>
          <w:szCs w:val="18"/>
        </w:rPr>
      </w:pPr>
      <w:r>
        <w:rPr>
          <w:rFonts w:ascii="宋体" w:eastAsia="宋体" w:hAnsi="宋体" w:cs="Times New Roman" w:hint="eastAsia"/>
          <w:sz w:val="18"/>
          <w:szCs w:val="18"/>
        </w:rPr>
        <w:lastRenderedPageBreak/>
        <w:t>3、上述合计数与各</w:t>
      </w:r>
      <w:proofErr w:type="gramStart"/>
      <w:r>
        <w:rPr>
          <w:rFonts w:ascii="宋体" w:eastAsia="宋体" w:hAnsi="宋体" w:cs="Times New Roman" w:hint="eastAsia"/>
          <w:sz w:val="18"/>
          <w:szCs w:val="18"/>
        </w:rPr>
        <w:t>明细数</w:t>
      </w:r>
      <w:proofErr w:type="gramEnd"/>
      <w:r>
        <w:rPr>
          <w:rFonts w:ascii="宋体" w:eastAsia="宋体" w:hAnsi="宋体" w:cs="Times New Roman" w:hint="eastAsia"/>
          <w:sz w:val="18"/>
          <w:szCs w:val="18"/>
        </w:rPr>
        <w:t>直接相加之和在尾数上如有差异，是由于四舍五入所造成</w:t>
      </w:r>
      <w:r>
        <w:rPr>
          <w:rFonts w:ascii="宋体" w:eastAsia="宋体" w:hAnsi="宋体" w:cs="Times New Roman"/>
          <w:sz w:val="18"/>
          <w:szCs w:val="18"/>
        </w:rPr>
        <w:t>。</w:t>
      </w:r>
    </w:p>
    <w:p w:rsidR="00A15BA5" w:rsidRPr="00A15BA5" w:rsidRDefault="00A15BA5" w:rsidP="00A15BA5">
      <w:pPr>
        <w:spacing w:line="360" w:lineRule="auto"/>
        <w:ind w:firstLineChars="200" w:firstLine="480"/>
        <w:rPr>
          <w:rFonts w:ascii="Calibri" w:eastAsia="宋体" w:hAnsi="Calibri" w:cs="宋体"/>
          <w:sz w:val="24"/>
          <w:szCs w:val="24"/>
        </w:rPr>
      </w:pPr>
      <w:r w:rsidRPr="00A15BA5">
        <w:rPr>
          <w:rFonts w:ascii="Calibri" w:eastAsia="宋体" w:hAnsi="Calibri" w:cs="宋体" w:hint="eastAsia"/>
          <w:sz w:val="24"/>
          <w:szCs w:val="24"/>
        </w:rPr>
        <w:t>公司以目前信息估计，在不考虑本激励计划对公司业绩的刺激作用情况下，限制性股票费用的摊销对有效期内各年净利润有所影响，但影响程度不大。若考虑限制性股票激励计划对公司发展产生的正向作用，由此激发管理团队的积极性，提高经营效率，降低代理人成本，本激励计划带来的公司业绩提升将远高于因其带来的费用增加</w:t>
      </w:r>
      <w:r>
        <w:rPr>
          <w:rFonts w:ascii="Calibri" w:eastAsia="宋体" w:hAnsi="Calibri" w:cs="宋体" w:hint="eastAsia"/>
          <w:sz w:val="24"/>
          <w:szCs w:val="24"/>
        </w:rPr>
        <w:t>。</w:t>
      </w:r>
    </w:p>
    <w:p w:rsidR="005F334F" w:rsidRDefault="00051223" w:rsidP="009C7308">
      <w:pPr>
        <w:spacing w:beforeLines="50" w:before="156" w:afterLines="50" w:after="156" w:line="360" w:lineRule="auto"/>
        <w:ind w:firstLineChars="200" w:firstLine="482"/>
        <w:rPr>
          <w:b/>
          <w:sz w:val="24"/>
        </w:rPr>
      </w:pPr>
      <w:r>
        <w:rPr>
          <w:rFonts w:hint="eastAsia"/>
          <w:b/>
          <w:sz w:val="24"/>
        </w:rPr>
        <w:t>九</w:t>
      </w:r>
      <w:r w:rsidR="00751F51">
        <w:rPr>
          <w:rFonts w:hint="eastAsia"/>
          <w:b/>
          <w:sz w:val="24"/>
        </w:rPr>
        <w:t>、备查文件</w:t>
      </w:r>
    </w:p>
    <w:p w:rsidR="005F334F" w:rsidRDefault="00751F51">
      <w:pPr>
        <w:spacing w:beforeLines="50" w:before="156" w:afterLines="50" w:after="156" w:line="360" w:lineRule="auto"/>
        <w:ind w:firstLineChars="200" w:firstLine="480"/>
        <w:rPr>
          <w:sz w:val="24"/>
        </w:rPr>
      </w:pPr>
      <w:r>
        <w:rPr>
          <w:rFonts w:hint="eastAsia"/>
          <w:sz w:val="24"/>
        </w:rPr>
        <w:t>（一）</w:t>
      </w:r>
      <w:r w:rsidR="00051223" w:rsidRPr="00051223">
        <w:rPr>
          <w:rFonts w:hint="eastAsia"/>
          <w:sz w:val="24"/>
        </w:rPr>
        <w:t>中国证券登记结算有限责任公司上海分公司出具的《证券变更登记证明》</w:t>
      </w:r>
    </w:p>
    <w:p w:rsidR="00051223" w:rsidRPr="0076650C" w:rsidRDefault="00751F51" w:rsidP="00051223">
      <w:pPr>
        <w:spacing w:beforeLines="50" w:before="156" w:afterLines="50" w:after="156" w:line="360" w:lineRule="auto"/>
        <w:ind w:firstLineChars="200" w:firstLine="480"/>
        <w:jc w:val="left"/>
        <w:rPr>
          <w:rFonts w:asciiTheme="minorEastAsia" w:hAnsiTheme="minorEastAsia"/>
          <w:sz w:val="24"/>
        </w:rPr>
      </w:pPr>
      <w:r>
        <w:rPr>
          <w:rFonts w:hint="eastAsia"/>
          <w:sz w:val="24"/>
        </w:rPr>
        <w:t>（二）</w:t>
      </w:r>
      <w:r w:rsidR="00051223" w:rsidRPr="00051223">
        <w:rPr>
          <w:rFonts w:hint="eastAsia"/>
          <w:sz w:val="24"/>
        </w:rPr>
        <w:t>《验资报告</w:t>
      </w:r>
      <w:r w:rsidR="00051223" w:rsidRPr="0076650C">
        <w:rPr>
          <w:rFonts w:asciiTheme="minorEastAsia" w:hAnsiTheme="minorEastAsia" w:hint="eastAsia"/>
          <w:sz w:val="24"/>
        </w:rPr>
        <w:t>》</w:t>
      </w:r>
    </w:p>
    <w:p w:rsidR="005F334F" w:rsidRDefault="00751F51">
      <w:pPr>
        <w:spacing w:beforeLines="50" w:before="156" w:afterLines="50" w:after="156" w:line="360" w:lineRule="auto"/>
        <w:ind w:firstLineChars="200" w:firstLine="480"/>
        <w:rPr>
          <w:rFonts w:ascii="Times New Roman" w:hAnsi="Times New Roman" w:cs="Times New Roman"/>
          <w:sz w:val="24"/>
        </w:rPr>
      </w:pPr>
      <w:r>
        <w:rPr>
          <w:rFonts w:ascii="Times New Roman" w:hAnsiTheme="minorEastAsia" w:cs="Times New Roman"/>
          <w:sz w:val="24"/>
        </w:rPr>
        <w:t>特此公告。</w:t>
      </w:r>
    </w:p>
    <w:p w:rsidR="005F334F" w:rsidRDefault="00751F51" w:rsidP="009C7308">
      <w:pPr>
        <w:autoSpaceDE w:val="0"/>
        <w:autoSpaceDN w:val="0"/>
        <w:adjustRightInd w:val="0"/>
        <w:spacing w:beforeLines="50" w:before="156" w:afterLines="50" w:after="156" w:line="360" w:lineRule="auto"/>
        <w:ind w:leftChars="1086" w:left="2281" w:firstLineChars="1000" w:firstLine="2400"/>
        <w:jc w:val="left"/>
        <w:rPr>
          <w:rFonts w:ascii="Times New Roman" w:hAnsi="Times New Roman" w:cs="Times New Roman"/>
          <w:color w:val="000000"/>
          <w:kern w:val="0"/>
          <w:sz w:val="24"/>
          <w:szCs w:val="24"/>
        </w:rPr>
      </w:pPr>
      <w:r>
        <w:rPr>
          <w:rFonts w:ascii="Times New Roman" w:hAnsiTheme="minorEastAsia" w:cs="Times New Roman"/>
          <w:color w:val="000000"/>
          <w:kern w:val="0"/>
          <w:sz w:val="24"/>
          <w:szCs w:val="24"/>
        </w:rPr>
        <w:t>山东先达农化股份有限公司</w:t>
      </w:r>
      <w:r>
        <w:rPr>
          <w:rFonts w:ascii="Times New Roman" w:hAnsiTheme="minorEastAsia" w:cs="Times New Roman" w:hint="eastAsia"/>
          <w:color w:val="000000"/>
          <w:kern w:val="0"/>
          <w:sz w:val="24"/>
          <w:szCs w:val="24"/>
        </w:rPr>
        <w:t>董事会</w:t>
      </w:r>
    </w:p>
    <w:p w:rsidR="005F334F" w:rsidRDefault="00751F51" w:rsidP="00200DDC">
      <w:pPr>
        <w:autoSpaceDE w:val="0"/>
        <w:autoSpaceDN w:val="0"/>
        <w:adjustRightInd w:val="0"/>
        <w:spacing w:beforeLines="50" w:before="156" w:afterLines="50" w:after="156" w:line="360" w:lineRule="auto"/>
        <w:ind w:right="480" w:firstLineChars="2400" w:firstLine="5760"/>
        <w:jc w:val="right"/>
        <w:rPr>
          <w:rFonts w:asciiTheme="minorEastAsia" w:hAnsiTheme="minorEastAsia" w:cs="Times New Roman"/>
          <w:color w:val="000000"/>
          <w:kern w:val="0"/>
          <w:sz w:val="24"/>
          <w:szCs w:val="24"/>
        </w:rPr>
      </w:pPr>
      <w:r w:rsidRPr="0076650C">
        <w:rPr>
          <w:rFonts w:asciiTheme="minorEastAsia" w:hAnsiTheme="minorEastAsia" w:cs="Times New Roman"/>
          <w:color w:val="000000"/>
          <w:kern w:val="0"/>
          <w:sz w:val="24"/>
          <w:szCs w:val="24"/>
        </w:rPr>
        <w:t>20</w:t>
      </w:r>
      <w:r w:rsidRPr="0076650C">
        <w:rPr>
          <w:rFonts w:asciiTheme="minorEastAsia" w:hAnsiTheme="minorEastAsia" w:cs="Times New Roman" w:hint="eastAsia"/>
          <w:color w:val="000000"/>
          <w:kern w:val="0"/>
          <w:sz w:val="24"/>
          <w:szCs w:val="24"/>
        </w:rPr>
        <w:t>20</w:t>
      </w:r>
      <w:r w:rsidRPr="0076650C">
        <w:rPr>
          <w:rFonts w:asciiTheme="minorEastAsia" w:hAnsiTheme="minorEastAsia" w:cs="Times New Roman"/>
          <w:color w:val="000000"/>
          <w:kern w:val="0"/>
          <w:sz w:val="24"/>
          <w:szCs w:val="24"/>
        </w:rPr>
        <w:t>年</w:t>
      </w:r>
      <w:r w:rsidRPr="0076650C">
        <w:rPr>
          <w:rFonts w:asciiTheme="minorEastAsia" w:hAnsiTheme="minorEastAsia" w:cs="Times New Roman" w:hint="eastAsia"/>
          <w:color w:val="000000"/>
          <w:kern w:val="0"/>
          <w:sz w:val="24"/>
          <w:szCs w:val="24"/>
        </w:rPr>
        <w:t>9</w:t>
      </w:r>
      <w:r w:rsidRPr="0076650C">
        <w:rPr>
          <w:rFonts w:asciiTheme="minorEastAsia" w:hAnsiTheme="minorEastAsia" w:cs="Times New Roman"/>
          <w:color w:val="000000"/>
          <w:kern w:val="0"/>
          <w:sz w:val="24"/>
          <w:szCs w:val="24"/>
        </w:rPr>
        <w:t>月</w:t>
      </w:r>
      <w:r w:rsidR="0076650C" w:rsidRPr="0076650C">
        <w:rPr>
          <w:rFonts w:asciiTheme="minorEastAsia" w:hAnsiTheme="minorEastAsia" w:cs="Times New Roman" w:hint="eastAsia"/>
          <w:color w:val="000000"/>
          <w:kern w:val="0"/>
          <w:sz w:val="24"/>
          <w:szCs w:val="24"/>
        </w:rPr>
        <w:t>24</w:t>
      </w:r>
      <w:r w:rsidRPr="0076650C">
        <w:rPr>
          <w:rFonts w:asciiTheme="minorEastAsia" w:hAnsiTheme="minorEastAsia" w:cs="Times New Roman"/>
          <w:color w:val="000000"/>
          <w:kern w:val="0"/>
          <w:sz w:val="24"/>
          <w:szCs w:val="24"/>
        </w:rPr>
        <w:t>日</w:t>
      </w:r>
    </w:p>
    <w:sectPr w:rsidR="005F33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A4" w:rsidRDefault="001070A4" w:rsidP="009C7308">
      <w:r>
        <w:separator/>
      </w:r>
    </w:p>
  </w:endnote>
  <w:endnote w:type="continuationSeparator" w:id="0">
    <w:p w:rsidR="001070A4" w:rsidRDefault="001070A4" w:rsidP="009C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A4" w:rsidRDefault="001070A4" w:rsidP="009C7308">
      <w:r>
        <w:separator/>
      </w:r>
    </w:p>
  </w:footnote>
  <w:footnote w:type="continuationSeparator" w:id="0">
    <w:p w:rsidR="001070A4" w:rsidRDefault="001070A4" w:rsidP="009C7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486"/>
    <w:multiLevelType w:val="multilevel"/>
    <w:tmpl w:val="0B34048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百新律师">
    <w15:presenceInfo w15:providerId="WPS Office" w15:userId="342257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47"/>
    <w:rsid w:val="00004A2E"/>
    <w:rsid w:val="00020205"/>
    <w:rsid w:val="000236D5"/>
    <w:rsid w:val="00031D45"/>
    <w:rsid w:val="00035B5A"/>
    <w:rsid w:val="0004023A"/>
    <w:rsid w:val="00051223"/>
    <w:rsid w:val="00051F17"/>
    <w:rsid w:val="00060383"/>
    <w:rsid w:val="00060F74"/>
    <w:rsid w:val="000629FC"/>
    <w:rsid w:val="00091E0D"/>
    <w:rsid w:val="000A585D"/>
    <w:rsid w:val="000A7485"/>
    <w:rsid w:val="000A7DBD"/>
    <w:rsid w:val="000C5347"/>
    <w:rsid w:val="000E064C"/>
    <w:rsid w:val="000E0CE5"/>
    <w:rsid w:val="000E1A0B"/>
    <w:rsid w:val="000E6CFC"/>
    <w:rsid w:val="000F78AA"/>
    <w:rsid w:val="001070A4"/>
    <w:rsid w:val="00110056"/>
    <w:rsid w:val="0011187A"/>
    <w:rsid w:val="0012341B"/>
    <w:rsid w:val="00125035"/>
    <w:rsid w:val="0013315F"/>
    <w:rsid w:val="001345A1"/>
    <w:rsid w:val="001402A9"/>
    <w:rsid w:val="00145FBE"/>
    <w:rsid w:val="0014794C"/>
    <w:rsid w:val="00161CBF"/>
    <w:rsid w:val="001635AB"/>
    <w:rsid w:val="0019057C"/>
    <w:rsid w:val="00195ED9"/>
    <w:rsid w:val="001A18DE"/>
    <w:rsid w:val="001A2330"/>
    <w:rsid w:val="001A69F0"/>
    <w:rsid w:val="001A712E"/>
    <w:rsid w:val="001A7AEF"/>
    <w:rsid w:val="001A7B26"/>
    <w:rsid w:val="001C2DCF"/>
    <w:rsid w:val="001C6E3A"/>
    <w:rsid w:val="001E3562"/>
    <w:rsid w:val="001E6292"/>
    <w:rsid w:val="001E6427"/>
    <w:rsid w:val="001E70CD"/>
    <w:rsid w:val="00200DDC"/>
    <w:rsid w:val="00205492"/>
    <w:rsid w:val="0022553D"/>
    <w:rsid w:val="002306EE"/>
    <w:rsid w:val="00235188"/>
    <w:rsid w:val="002375A4"/>
    <w:rsid w:val="00250C92"/>
    <w:rsid w:val="002562BB"/>
    <w:rsid w:val="00270E6A"/>
    <w:rsid w:val="00274F70"/>
    <w:rsid w:val="00276E41"/>
    <w:rsid w:val="00276FF8"/>
    <w:rsid w:val="002775BC"/>
    <w:rsid w:val="00297763"/>
    <w:rsid w:val="002A329E"/>
    <w:rsid w:val="002B1DAA"/>
    <w:rsid w:val="002B3046"/>
    <w:rsid w:val="002B3208"/>
    <w:rsid w:val="002C0E89"/>
    <w:rsid w:val="002C4326"/>
    <w:rsid w:val="002C598E"/>
    <w:rsid w:val="002D3457"/>
    <w:rsid w:val="002E09C5"/>
    <w:rsid w:val="002F0B64"/>
    <w:rsid w:val="002F3DAB"/>
    <w:rsid w:val="002F7293"/>
    <w:rsid w:val="003016DE"/>
    <w:rsid w:val="00305A36"/>
    <w:rsid w:val="0031717A"/>
    <w:rsid w:val="00325648"/>
    <w:rsid w:val="00335AF4"/>
    <w:rsid w:val="00342061"/>
    <w:rsid w:val="00343D5B"/>
    <w:rsid w:val="00347B7B"/>
    <w:rsid w:val="003507E5"/>
    <w:rsid w:val="003638AB"/>
    <w:rsid w:val="0037410C"/>
    <w:rsid w:val="00377DF9"/>
    <w:rsid w:val="00380166"/>
    <w:rsid w:val="003864E5"/>
    <w:rsid w:val="00391479"/>
    <w:rsid w:val="00393ECD"/>
    <w:rsid w:val="003B00C7"/>
    <w:rsid w:val="003C0B84"/>
    <w:rsid w:val="003C2C8F"/>
    <w:rsid w:val="003D657D"/>
    <w:rsid w:val="003E5ED1"/>
    <w:rsid w:val="004207BC"/>
    <w:rsid w:val="00442E12"/>
    <w:rsid w:val="004476A5"/>
    <w:rsid w:val="004566D1"/>
    <w:rsid w:val="00470190"/>
    <w:rsid w:val="004816A3"/>
    <w:rsid w:val="004A17A0"/>
    <w:rsid w:val="004A29E3"/>
    <w:rsid w:val="004D0D56"/>
    <w:rsid w:val="004D5957"/>
    <w:rsid w:val="004D6E8D"/>
    <w:rsid w:val="004E43E4"/>
    <w:rsid w:val="00505870"/>
    <w:rsid w:val="00514339"/>
    <w:rsid w:val="0055714B"/>
    <w:rsid w:val="00565078"/>
    <w:rsid w:val="00565AA4"/>
    <w:rsid w:val="00574C3A"/>
    <w:rsid w:val="00582D3E"/>
    <w:rsid w:val="0058427E"/>
    <w:rsid w:val="0059264B"/>
    <w:rsid w:val="00592ABA"/>
    <w:rsid w:val="00592CB9"/>
    <w:rsid w:val="00595E8B"/>
    <w:rsid w:val="005A481C"/>
    <w:rsid w:val="005B1B94"/>
    <w:rsid w:val="005C1733"/>
    <w:rsid w:val="005C3BDB"/>
    <w:rsid w:val="005C531D"/>
    <w:rsid w:val="005C6587"/>
    <w:rsid w:val="005F334F"/>
    <w:rsid w:val="00616434"/>
    <w:rsid w:val="00620E87"/>
    <w:rsid w:val="00623A92"/>
    <w:rsid w:val="0062641A"/>
    <w:rsid w:val="0065710A"/>
    <w:rsid w:val="006671AD"/>
    <w:rsid w:val="00670897"/>
    <w:rsid w:val="00694DD9"/>
    <w:rsid w:val="006A66FD"/>
    <w:rsid w:val="006B5265"/>
    <w:rsid w:val="006B7B54"/>
    <w:rsid w:val="006D16C4"/>
    <w:rsid w:val="006D26ED"/>
    <w:rsid w:val="006D5BE0"/>
    <w:rsid w:val="006E3143"/>
    <w:rsid w:val="006E3AFE"/>
    <w:rsid w:val="006E53C1"/>
    <w:rsid w:val="006E740B"/>
    <w:rsid w:val="006F479B"/>
    <w:rsid w:val="00711E63"/>
    <w:rsid w:val="00722C55"/>
    <w:rsid w:val="00733606"/>
    <w:rsid w:val="007352A0"/>
    <w:rsid w:val="00736C6E"/>
    <w:rsid w:val="00743069"/>
    <w:rsid w:val="00751F51"/>
    <w:rsid w:val="00752218"/>
    <w:rsid w:val="00754108"/>
    <w:rsid w:val="007554E7"/>
    <w:rsid w:val="007636B6"/>
    <w:rsid w:val="0076650C"/>
    <w:rsid w:val="007672BC"/>
    <w:rsid w:val="00767755"/>
    <w:rsid w:val="00767C88"/>
    <w:rsid w:val="00772AB3"/>
    <w:rsid w:val="00775808"/>
    <w:rsid w:val="00776D6A"/>
    <w:rsid w:val="00780472"/>
    <w:rsid w:val="00783BF2"/>
    <w:rsid w:val="00787A28"/>
    <w:rsid w:val="007959BB"/>
    <w:rsid w:val="007A5EE1"/>
    <w:rsid w:val="007B5E7C"/>
    <w:rsid w:val="007D1CD5"/>
    <w:rsid w:val="007E53A7"/>
    <w:rsid w:val="007F1975"/>
    <w:rsid w:val="007F4F0C"/>
    <w:rsid w:val="007F541D"/>
    <w:rsid w:val="008022B7"/>
    <w:rsid w:val="00805727"/>
    <w:rsid w:val="00807C2B"/>
    <w:rsid w:val="008114C8"/>
    <w:rsid w:val="00813DE7"/>
    <w:rsid w:val="00821D13"/>
    <w:rsid w:val="0082715A"/>
    <w:rsid w:val="00875258"/>
    <w:rsid w:val="00885BFC"/>
    <w:rsid w:val="00890308"/>
    <w:rsid w:val="008A49BB"/>
    <w:rsid w:val="008A620C"/>
    <w:rsid w:val="008A624F"/>
    <w:rsid w:val="008B06EC"/>
    <w:rsid w:val="008B22B8"/>
    <w:rsid w:val="008C18A7"/>
    <w:rsid w:val="008C339E"/>
    <w:rsid w:val="008D297E"/>
    <w:rsid w:val="008D59F4"/>
    <w:rsid w:val="008D66DD"/>
    <w:rsid w:val="008D7AA1"/>
    <w:rsid w:val="008E4992"/>
    <w:rsid w:val="008E5495"/>
    <w:rsid w:val="008F1F13"/>
    <w:rsid w:val="008F21C2"/>
    <w:rsid w:val="009057FC"/>
    <w:rsid w:val="00905D23"/>
    <w:rsid w:val="0091574B"/>
    <w:rsid w:val="009158DF"/>
    <w:rsid w:val="00922AE6"/>
    <w:rsid w:val="00923B35"/>
    <w:rsid w:val="00940E52"/>
    <w:rsid w:val="009535EF"/>
    <w:rsid w:val="00953E87"/>
    <w:rsid w:val="00973D8F"/>
    <w:rsid w:val="00980DD8"/>
    <w:rsid w:val="00981068"/>
    <w:rsid w:val="009879FC"/>
    <w:rsid w:val="00987F92"/>
    <w:rsid w:val="00991A50"/>
    <w:rsid w:val="00991F4B"/>
    <w:rsid w:val="009938D3"/>
    <w:rsid w:val="00993B04"/>
    <w:rsid w:val="009960CF"/>
    <w:rsid w:val="009B01C0"/>
    <w:rsid w:val="009B07E3"/>
    <w:rsid w:val="009B4B57"/>
    <w:rsid w:val="009C7308"/>
    <w:rsid w:val="009D26E0"/>
    <w:rsid w:val="009E499D"/>
    <w:rsid w:val="00A04A47"/>
    <w:rsid w:val="00A113D8"/>
    <w:rsid w:val="00A134D4"/>
    <w:rsid w:val="00A15BA5"/>
    <w:rsid w:val="00A3043B"/>
    <w:rsid w:val="00A3147B"/>
    <w:rsid w:val="00A338F2"/>
    <w:rsid w:val="00A426B2"/>
    <w:rsid w:val="00A44801"/>
    <w:rsid w:val="00A51727"/>
    <w:rsid w:val="00A52756"/>
    <w:rsid w:val="00A557AF"/>
    <w:rsid w:val="00A6267D"/>
    <w:rsid w:val="00A64F87"/>
    <w:rsid w:val="00A71EB6"/>
    <w:rsid w:val="00A726A5"/>
    <w:rsid w:val="00A730C2"/>
    <w:rsid w:val="00A74B10"/>
    <w:rsid w:val="00A77529"/>
    <w:rsid w:val="00A841B0"/>
    <w:rsid w:val="00A84435"/>
    <w:rsid w:val="00AA2D6A"/>
    <w:rsid w:val="00AA5D59"/>
    <w:rsid w:val="00AD2B40"/>
    <w:rsid w:val="00AD634C"/>
    <w:rsid w:val="00AE119A"/>
    <w:rsid w:val="00AE4318"/>
    <w:rsid w:val="00B1520B"/>
    <w:rsid w:val="00B2046F"/>
    <w:rsid w:val="00B25A97"/>
    <w:rsid w:val="00B30CAE"/>
    <w:rsid w:val="00B34285"/>
    <w:rsid w:val="00B36C4A"/>
    <w:rsid w:val="00B40BC8"/>
    <w:rsid w:val="00B509C1"/>
    <w:rsid w:val="00B9486A"/>
    <w:rsid w:val="00BA0095"/>
    <w:rsid w:val="00BC33AE"/>
    <w:rsid w:val="00C1517B"/>
    <w:rsid w:val="00C255BA"/>
    <w:rsid w:val="00C26797"/>
    <w:rsid w:val="00C3001A"/>
    <w:rsid w:val="00C312B8"/>
    <w:rsid w:val="00C34973"/>
    <w:rsid w:val="00C41E18"/>
    <w:rsid w:val="00C45678"/>
    <w:rsid w:val="00C504B9"/>
    <w:rsid w:val="00C5066E"/>
    <w:rsid w:val="00C61684"/>
    <w:rsid w:val="00C643BD"/>
    <w:rsid w:val="00C70A37"/>
    <w:rsid w:val="00C751E6"/>
    <w:rsid w:val="00C81348"/>
    <w:rsid w:val="00C853CF"/>
    <w:rsid w:val="00CA33B6"/>
    <w:rsid w:val="00CA7C7C"/>
    <w:rsid w:val="00CB5927"/>
    <w:rsid w:val="00CB66A1"/>
    <w:rsid w:val="00CC0ED6"/>
    <w:rsid w:val="00CC2567"/>
    <w:rsid w:val="00CC6E4C"/>
    <w:rsid w:val="00CD0D18"/>
    <w:rsid w:val="00CD3AD3"/>
    <w:rsid w:val="00CE2EB2"/>
    <w:rsid w:val="00CE3617"/>
    <w:rsid w:val="00CE3C81"/>
    <w:rsid w:val="00CE4A62"/>
    <w:rsid w:val="00CE7EEB"/>
    <w:rsid w:val="00CF0805"/>
    <w:rsid w:val="00D056A2"/>
    <w:rsid w:val="00D13AAE"/>
    <w:rsid w:val="00D210DD"/>
    <w:rsid w:val="00D40ABA"/>
    <w:rsid w:val="00D45209"/>
    <w:rsid w:val="00D46C7B"/>
    <w:rsid w:val="00D6218B"/>
    <w:rsid w:val="00D73246"/>
    <w:rsid w:val="00D77FBE"/>
    <w:rsid w:val="00D91A6A"/>
    <w:rsid w:val="00D9313F"/>
    <w:rsid w:val="00DB44D0"/>
    <w:rsid w:val="00DB6884"/>
    <w:rsid w:val="00DB74DC"/>
    <w:rsid w:val="00DC7869"/>
    <w:rsid w:val="00DD33CB"/>
    <w:rsid w:val="00DD5555"/>
    <w:rsid w:val="00DD7D67"/>
    <w:rsid w:val="00DE1215"/>
    <w:rsid w:val="00DE2454"/>
    <w:rsid w:val="00DF072D"/>
    <w:rsid w:val="00DF1D73"/>
    <w:rsid w:val="00DF5057"/>
    <w:rsid w:val="00DF5757"/>
    <w:rsid w:val="00E01723"/>
    <w:rsid w:val="00E17600"/>
    <w:rsid w:val="00E22FDD"/>
    <w:rsid w:val="00E31660"/>
    <w:rsid w:val="00E44864"/>
    <w:rsid w:val="00E516AC"/>
    <w:rsid w:val="00E558BF"/>
    <w:rsid w:val="00E569B3"/>
    <w:rsid w:val="00E60548"/>
    <w:rsid w:val="00E71A8B"/>
    <w:rsid w:val="00E727DC"/>
    <w:rsid w:val="00E75C7D"/>
    <w:rsid w:val="00E810AE"/>
    <w:rsid w:val="00E81E30"/>
    <w:rsid w:val="00E81F9E"/>
    <w:rsid w:val="00E85D84"/>
    <w:rsid w:val="00E86877"/>
    <w:rsid w:val="00E905AD"/>
    <w:rsid w:val="00EA75C8"/>
    <w:rsid w:val="00EC3D34"/>
    <w:rsid w:val="00EC4AAF"/>
    <w:rsid w:val="00EC5F73"/>
    <w:rsid w:val="00ED2CFE"/>
    <w:rsid w:val="00ED5662"/>
    <w:rsid w:val="00EE2178"/>
    <w:rsid w:val="00EE35DE"/>
    <w:rsid w:val="00EE371B"/>
    <w:rsid w:val="00F122F9"/>
    <w:rsid w:val="00F14C25"/>
    <w:rsid w:val="00F352DA"/>
    <w:rsid w:val="00F40A77"/>
    <w:rsid w:val="00F55403"/>
    <w:rsid w:val="00F61097"/>
    <w:rsid w:val="00F65929"/>
    <w:rsid w:val="00F8141D"/>
    <w:rsid w:val="00F81CA2"/>
    <w:rsid w:val="00F833CB"/>
    <w:rsid w:val="00F85BEF"/>
    <w:rsid w:val="00F96EE4"/>
    <w:rsid w:val="00FA1205"/>
    <w:rsid w:val="00FB1465"/>
    <w:rsid w:val="00FB66F2"/>
    <w:rsid w:val="00FB7F91"/>
    <w:rsid w:val="00FC0B2A"/>
    <w:rsid w:val="00FC4B66"/>
    <w:rsid w:val="00FD3117"/>
    <w:rsid w:val="00FE0419"/>
    <w:rsid w:val="00FE0A18"/>
    <w:rsid w:val="00FE0F67"/>
    <w:rsid w:val="00FE7070"/>
    <w:rsid w:val="00FF06F2"/>
    <w:rsid w:val="00FF51DC"/>
    <w:rsid w:val="00FF64B1"/>
    <w:rsid w:val="5F3F0C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Plain Text"/>
    <w:basedOn w:val="a"/>
    <w:link w:val="Char1"/>
    <w:uiPriority w:val="99"/>
    <w:unhideWhenUsed/>
    <w:qFormat/>
    <w:rPr>
      <w:rFonts w:ascii="宋体" w:eastAsia="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unhideWhenUsed/>
    <w:qFormat/>
    <w:rPr>
      <w:sz w:val="21"/>
      <w:szCs w:val="21"/>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纯文本 Char"/>
    <w:basedOn w:val="a0"/>
    <w:link w:val="a5"/>
    <w:uiPriority w:val="99"/>
    <w:qFormat/>
    <w:rPr>
      <w:rFonts w:ascii="宋体" w:eastAsia="宋体" w:hAnsi="Courier New" w:cs="Courier New"/>
      <w:szCs w:val="21"/>
    </w:rPr>
  </w:style>
  <w:style w:type="paragraph" w:customStyle="1" w:styleId="1">
    <w:name w:val="列出段落1"/>
    <w:basedOn w:val="a"/>
    <w:uiPriority w:val="34"/>
    <w:qFormat/>
    <w:pPr>
      <w:ind w:firstLineChars="200" w:firstLine="420"/>
    </w:pPr>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c">
    <w:name w:val="List Paragraph"/>
    <w:basedOn w:val="a"/>
    <w:uiPriority w:val="99"/>
    <w:unhideWhenUsed/>
    <w:rsid w:val="00FD311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Plain Text"/>
    <w:basedOn w:val="a"/>
    <w:link w:val="Char1"/>
    <w:uiPriority w:val="99"/>
    <w:unhideWhenUsed/>
    <w:qFormat/>
    <w:rPr>
      <w:rFonts w:ascii="宋体" w:eastAsia="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unhideWhenUsed/>
    <w:qFormat/>
    <w:rPr>
      <w:sz w:val="21"/>
      <w:szCs w:val="21"/>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纯文本 Char"/>
    <w:basedOn w:val="a0"/>
    <w:link w:val="a5"/>
    <w:uiPriority w:val="99"/>
    <w:qFormat/>
    <w:rPr>
      <w:rFonts w:ascii="宋体" w:eastAsia="宋体" w:hAnsi="Courier New" w:cs="Courier New"/>
      <w:szCs w:val="21"/>
    </w:rPr>
  </w:style>
  <w:style w:type="paragraph" w:customStyle="1" w:styleId="1">
    <w:name w:val="列出段落1"/>
    <w:basedOn w:val="a"/>
    <w:uiPriority w:val="34"/>
    <w:qFormat/>
    <w:pPr>
      <w:ind w:firstLineChars="200" w:firstLine="420"/>
    </w:pPr>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c">
    <w:name w:val="List Paragraph"/>
    <w:basedOn w:val="a"/>
    <w:uiPriority w:val="99"/>
    <w:unhideWhenUsed/>
    <w:rsid w:val="00FD31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3886">
      <w:bodyDiv w:val="1"/>
      <w:marLeft w:val="0"/>
      <w:marRight w:val="0"/>
      <w:marTop w:val="0"/>
      <w:marBottom w:val="0"/>
      <w:divBdr>
        <w:top w:val="none" w:sz="0" w:space="0" w:color="auto"/>
        <w:left w:val="none" w:sz="0" w:space="0" w:color="auto"/>
        <w:bottom w:val="none" w:sz="0" w:space="0" w:color="auto"/>
        <w:right w:val="none" w:sz="0" w:space="0" w:color="auto"/>
      </w:divBdr>
    </w:div>
    <w:div w:id="1492942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6</Pages>
  <Words>572</Words>
  <Characters>3266</Characters>
  <Application>Microsoft Office Word</Application>
  <DocSecurity>0</DocSecurity>
  <Lines>27</Lines>
  <Paragraphs>7</Paragraphs>
  <ScaleCrop>false</ScaleCrop>
  <Company>China</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179</cp:revision>
  <cp:lastPrinted>2017-05-16T10:03:00Z</cp:lastPrinted>
  <dcterms:created xsi:type="dcterms:W3CDTF">2017-05-13T09:20:00Z</dcterms:created>
  <dcterms:modified xsi:type="dcterms:W3CDTF">2020-09-23T07:08:00Z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