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9" w:x="1800" w:y="145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603086</w:t>
      </w:r>
    </w:p>
    <w:p>
      <w:pPr>
        <w:framePr w:w="2407" w:x="4695" w:y="145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证券简称：先达股份</w:t>
      </w:r>
    </w:p>
    <w:p>
      <w:pPr>
        <w:framePr w:w="2412" w:x="7828" w:y="145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公告编号：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2020-051</w:t>
      </w:r>
    </w:p>
    <w:p>
      <w:pPr>
        <w:framePr w:w="4577" w:x="3783" w:y="2097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2"/>
          <w:sz w:val="36"/>
          <w:szCs w:val="22"/>
          <w:lang w:val="en-US" w:eastAsia="en-US" w:bidi="ar-SA"/>
        </w:rPr>
        <w:t>山东先达农化股份有限公司</w:t>
      </w:r>
    </w:p>
    <w:p>
      <w:pPr>
        <w:framePr w:w="4577" w:x="3783" w:y="2097"/>
        <w:widowControl w:val="0"/>
        <w:autoSpaceDE w:val="0"/>
        <w:autoSpaceDN w:val="0"/>
        <w:spacing w:before="494" w:line="360" w:lineRule="exact"/>
        <w:ind w:left="363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6"/>
          <w:szCs w:val="22"/>
          <w:lang w:val="en-US" w:eastAsia="en-US" w:bidi="ar-SA"/>
        </w:rPr>
        <w:t>股东减持股份进展公告</w:t>
      </w:r>
    </w:p>
    <w:p>
      <w:pPr>
        <w:framePr w:w="8640" w:x="1800" w:y="3921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本公司董事会、全体董事及相关股东保证本公告内容不存在任何虚假记载、</w:t>
      </w:r>
    </w:p>
    <w:p>
      <w:pPr>
        <w:framePr w:w="8640" w:x="1800" w:y="392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误导性陈述或者重大遗漏，并对其内容的真实性、准确性和完整性承担个别及连</w:t>
      </w:r>
    </w:p>
    <w:p>
      <w:pPr>
        <w:framePr w:w="8640" w:x="1800" w:y="392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带责任。</w:t>
      </w:r>
    </w:p>
    <w:p>
      <w:pPr>
        <w:framePr w:w="1920" w:x="1800" w:y="550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重要内容提示：</w:t>
      </w:r>
    </w:p>
    <w:p>
      <w:pPr>
        <w:framePr w:w="2820" w:x="2400" w:y="6122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Wingdings" w:hAnsi="Wingdings" w:cs="Wingdings"/>
          <w:color w:val="000000"/>
          <w:szCs w:val="22"/>
          <w:lang w:val="en-US" w:eastAsia="en-US" w:bidi="ar-SA"/>
        </w:rPr>
        <w:sym w:font="Wingdings" w:char="F06C"/>
      </w:r>
      <w:r>
        <w:rPr>
          <w:rFonts w:hAnsi="Calibr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股东持股的基本情况</w:t>
      </w:r>
    </w:p>
    <w:p>
      <w:pPr>
        <w:framePr w:w="8160" w:x="2280" w:y="675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截至本公告披露日，山东先达农化股份有限公司（以下简称“公司”）股东</w:t>
      </w:r>
    </w:p>
    <w:p>
      <w:pPr>
        <w:framePr w:w="7381" w:x="1800" w:y="722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陈绪潇女士持有公司股份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7,781,412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股，占公司总股本的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4.9626%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。</w:t>
      </w:r>
    </w:p>
    <w:p>
      <w:pPr>
        <w:framePr w:w="2821" w:x="2400" w:y="7836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Wingdings" w:hAnsi="Wingdings" w:cs="Wingdings"/>
          <w:color w:val="000000"/>
          <w:szCs w:val="22"/>
          <w:lang w:val="en-US" w:eastAsia="en-US" w:bidi="ar-SA"/>
        </w:rPr>
        <w:sym w:font="Wingdings" w:char="F06C"/>
      </w:r>
      <w:r>
        <w:rPr>
          <w:rFonts w:hAnsi="Calibr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减持计划的主要内容</w:t>
      </w:r>
    </w:p>
    <w:p>
      <w:pPr>
        <w:framePr w:w="8880" w:x="1800" w:y="8467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公司于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22</w:t>
      </w: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日披露了《山东先达农化股份有限公司股东减持股份</w:t>
      </w:r>
    </w:p>
    <w:p>
      <w:pPr>
        <w:framePr w:w="8880" w:x="1800" w:y="846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计划公告》（公告编号：</w:t>
      </w:r>
      <w:r>
        <w:rPr>
          <w:rFonts w:ascii="SimSun" w:hAnsi="Calibri"/>
          <w:color w:val="000000"/>
          <w:szCs w:val="22"/>
          <w:lang w:val="en-US" w:eastAsia="en-US" w:bidi="ar-SA"/>
        </w:rPr>
        <w:t>2020-029</w:t>
      </w: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），陈绪潇女士计划通过集中竞价、大宗交易等</w:t>
      </w:r>
    </w:p>
    <w:p>
      <w:pPr>
        <w:framePr w:w="8880" w:x="1800" w:y="8467"/>
        <w:widowControl w:val="0"/>
        <w:autoSpaceDE w:val="0"/>
        <w:autoSpaceDN w:val="0"/>
        <w:spacing w:before="226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上海证券交易所认可的合法方式减持公司股份共计不超过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1,000,000</w:t>
      </w:r>
      <w:r>
        <w:rPr>
          <w:rFonts w:ascii="SimSun" w:hAnsi="SimSun" w:cs="SimSun"/>
          <w:color w:val="000000"/>
          <w:spacing w:val="-19"/>
          <w:szCs w:val="22"/>
          <w:lang w:val="en-US" w:eastAsia="en-US" w:bidi="ar-SA"/>
        </w:rPr>
        <w:t>股，即不超</w:t>
      </w:r>
    </w:p>
    <w:p>
      <w:pPr>
        <w:framePr w:w="8880" w:x="1800" w:y="846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过总股本的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0.6378%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。</w:t>
      </w:r>
    </w:p>
    <w:p>
      <w:pPr>
        <w:framePr w:w="2820" w:x="2400" w:y="10481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Wingdings" w:hAnsi="Wingdings" w:cs="Wingdings"/>
          <w:color w:val="000000"/>
          <w:szCs w:val="22"/>
          <w:lang w:val="en-US" w:eastAsia="en-US" w:bidi="ar-SA"/>
        </w:rPr>
        <w:sym w:font="Wingdings" w:char="F06C"/>
      </w:r>
      <w:r>
        <w:rPr>
          <w:rFonts w:hAnsi="Calibr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减持计划的进展情况</w:t>
      </w:r>
    </w:p>
    <w:p>
      <w:pPr>
        <w:framePr w:w="8546" w:x="1800" w:y="11194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8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日至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日，陈绪潇女士通过集中竞价方式累计</w:t>
      </w:r>
    </w:p>
    <w:p>
      <w:pPr>
        <w:framePr w:w="8546" w:x="1800" w:y="11194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减持公司股份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500,000</w:t>
      </w:r>
      <w:r>
        <w:rPr>
          <w:rFonts w:ascii="SimSun" w:hAnsi="SimSun" w:cs="SimSun"/>
          <w:color w:val="000000"/>
          <w:spacing w:val="-1"/>
          <w:szCs w:val="22"/>
          <w:lang w:val="en-US" w:eastAsia="en-US" w:bidi="ar-SA"/>
        </w:rPr>
        <w:t>股，占公司总股本的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0.3189%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。截止本公告披露日，本次</w:t>
      </w:r>
    </w:p>
    <w:p>
      <w:pPr>
        <w:framePr w:w="8546" w:x="1800" w:y="11194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减持计划减持数量过半，减持计划尚未实施完毕。</w:t>
      </w:r>
    </w:p>
    <w:p>
      <w:pPr>
        <w:framePr w:w="3360" w:x="1800" w:y="1275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一、减持主体减持前基本情况</w:t>
      </w:r>
    </w:p>
    <w:p>
      <w:pPr>
        <w:framePr w:w="1200" w:x="1320" w:y="133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股东名称</w:t>
      </w:r>
    </w:p>
    <w:p>
      <w:pPr>
        <w:framePr w:w="1200" w:x="1320" w:y="13309"/>
        <w:widowControl w:val="0"/>
        <w:autoSpaceDE w:val="0"/>
        <w:autoSpaceDN w:val="0"/>
        <w:spacing w:before="82" w:line="240" w:lineRule="exact"/>
        <w:ind w:left="12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陈绪潇</w:t>
      </w:r>
    </w:p>
    <w:p>
      <w:pPr>
        <w:framePr w:w="1200" w:x="2880" w:y="133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股东身份</w:t>
      </w:r>
    </w:p>
    <w:p>
      <w:pPr>
        <w:framePr w:w="3233" w:x="4321" w:y="133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持股数量（股）</w:t>
      </w:r>
      <w:r>
        <w:rPr>
          <w:rFonts w:hAnsi="Calibri"/>
          <w:color w:val="000000"/>
          <w:spacing w:val="293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持股比例</w:t>
      </w:r>
    </w:p>
    <w:p>
      <w:pPr>
        <w:framePr w:w="2160" w:x="8284" w:y="133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当前持股股份来源</w:t>
      </w:r>
    </w:p>
    <w:p>
      <w:pPr>
        <w:framePr w:w="1440" w:x="2760" w:y="1363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5%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以下股东</w:t>
      </w:r>
    </w:p>
    <w:p>
      <w:pPr>
        <w:framePr w:w="6140" w:x="4868" w:y="1363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8,281,412</w:t>
      </w:r>
      <w:r>
        <w:rPr>
          <w:rFonts w:ascii="SimSun" w:hAnsi="Calibri"/>
          <w:color w:val="000000"/>
          <w:spacing w:val="59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5.2815%</w:t>
      </w:r>
      <w:r>
        <w:rPr>
          <w:rFonts w:ascii="SimSun" w:hAnsi="Calibri"/>
          <w:color w:val="000000"/>
          <w:spacing w:val="9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其他方式取得：</w:t>
      </w:r>
      <w:r>
        <w:rPr>
          <w:rFonts w:ascii="SimSun" w:hAnsi="Calibri"/>
          <w:color w:val="000000"/>
          <w:szCs w:val="22"/>
          <w:lang w:val="en-US" w:eastAsia="en-US" w:bidi="ar-SA"/>
        </w:rPr>
        <w:t>8,281,412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</w:t>
      </w:r>
    </w:p>
    <w:p>
      <w:pPr>
        <w:framePr w:w="3361" w:x="2225" w:y="1418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上述减持主体无一致行动人。</w:t>
      </w:r>
    </w:p>
    <w:p>
      <w:pPr>
        <w:framePr w:w="331" w:x="5907" w:y="15388"/>
        <w:widowControl w:val="0"/>
        <w:autoSpaceDE w:val="0"/>
        <w:autoSpaceDN w:val="0"/>
        <w:spacing w:line="220" w:lineRule="exact"/>
        <w:rPr>
          <w:rFonts w:ascii="Calibri" w:hAnsi="Calibri"/>
          <w:color w:val="000000"/>
          <w:sz w:val="18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29.15pt;height:80.05pt;margin-top:186.85pt;margin-left:83.15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491.6pt;height:34.65pt;margin-top:662.25pt;margin-left:53.35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88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二、减持计划的实施进展</w:t>
      </w:r>
    </w:p>
    <w:p>
      <w:pPr>
        <w:framePr w:w="5280" w:x="1800" w:y="215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（一）股东因以下原因披露减持计划实施进展：</w:t>
      </w:r>
    </w:p>
    <w:p>
      <w:pPr>
        <w:framePr w:w="5280" w:x="1800" w:y="2159"/>
        <w:widowControl w:val="0"/>
        <w:autoSpaceDE w:val="0"/>
        <w:autoSpaceDN w:val="0"/>
        <w:spacing w:before="384" w:line="240" w:lineRule="exact"/>
        <w:ind w:left="845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集中竞价交易减持数量过半</w:t>
      </w:r>
    </w:p>
    <w:p>
      <w:pPr>
        <w:framePr w:w="960" w:x="1961" w:y="373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减持数</w:t>
      </w:r>
    </w:p>
    <w:p>
      <w:pPr>
        <w:framePr w:w="720" w:x="3075" w:y="373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</w:t>
      </w:r>
    </w:p>
    <w:p>
      <w:pPr>
        <w:framePr w:w="6234" w:x="5293" w:y="373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减持方</w:t>
      </w:r>
      <w:r>
        <w:rPr>
          <w:rFonts w:eastAsiaTheme="minorEastAsia" w:hAnsiTheme="minorHAnsi" w:cstheme="minorBidi"/>
          <w:color w:val="000000"/>
          <w:spacing w:val="18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减持价格区</w:t>
      </w:r>
      <w:r>
        <w:rPr>
          <w:rFonts w:eastAsiaTheme="minorEastAsia" w:hAnsiTheme="minorHAnsi" w:cstheme="minorBidi"/>
          <w:color w:val="000000"/>
          <w:spacing w:val="15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减持总金额</w:t>
      </w:r>
      <w:r>
        <w:rPr>
          <w:rFonts w:eastAsiaTheme="minorEastAsia" w:hAnsiTheme="minorHAnsi" w:cstheme="minorBidi"/>
          <w:color w:val="000000"/>
          <w:spacing w:val="17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当前持股数</w:t>
      </w:r>
      <w:r>
        <w:rPr>
          <w:rFonts w:eastAsiaTheme="minorEastAsia" w:hAnsiTheme="minorHAnsi" w:cstheme="minorBidi"/>
          <w:color w:val="000000"/>
          <w:spacing w:val="18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当前持</w:t>
      </w:r>
    </w:p>
    <w:p>
      <w:pPr>
        <w:framePr w:w="6234" w:x="5293" w:y="3733"/>
        <w:widowControl w:val="0"/>
        <w:autoSpaceDE w:val="0"/>
        <w:autoSpaceDN w:val="0"/>
        <w:spacing w:before="72" w:line="240" w:lineRule="exact"/>
        <w:ind w:left="967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间（元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/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股）</w:t>
      </w:r>
      <w:r>
        <w:rPr>
          <w:rFonts w:eastAsiaTheme="minorEastAsia" w:hAnsiTheme="minorHAnsi" w:cstheme="minorBidi"/>
          <w:color w:val="000000"/>
          <w:spacing w:val="27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（元）</w:t>
      </w:r>
      <w:r>
        <w:rPr>
          <w:rFonts w:eastAsiaTheme="minorEastAsia" w:hAnsiTheme="minorHAnsi" w:cstheme="minorBidi"/>
          <w:color w:val="000000"/>
          <w:spacing w:val="53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量（股）</w:t>
      </w:r>
      <w:r>
        <w:rPr>
          <w:rFonts w:eastAsiaTheme="minorEastAsia" w:hAnsiTheme="minorHAnsi" w:cstheme="minorBidi"/>
          <w:color w:val="000000"/>
          <w:spacing w:val="30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股比例</w:t>
      </w:r>
    </w:p>
    <w:p>
      <w:pPr>
        <w:framePr w:w="6234" w:x="5293" w:y="3733"/>
        <w:widowControl w:val="0"/>
        <w:autoSpaceDE w:val="0"/>
        <w:autoSpaceDN w:val="0"/>
        <w:spacing w:before="120" w:line="240" w:lineRule="exact"/>
        <w:ind w:left="2386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8,477,292.</w:t>
      </w:r>
      <w:r>
        <w:rPr>
          <w:rFonts w:ascii="SimSun" w:eastAsiaTheme="minorEastAsia" w:hAnsiTheme="minorHAnsi" w:cstheme="minorBidi"/>
          <w:color w:val="000000"/>
          <w:spacing w:val="25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7,781,412</w:t>
      </w:r>
      <w:r>
        <w:rPr>
          <w:rFonts w:ascii="SimSun" w:eastAsiaTheme="minorEastAsia" w:hAnsiTheme="minorHAnsi" w:cstheme="minorBidi"/>
          <w:color w:val="000000"/>
          <w:spacing w:val="1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4.9626</w:t>
      </w:r>
    </w:p>
    <w:p>
      <w:pPr>
        <w:framePr w:w="6234" w:x="5293" w:y="3733"/>
        <w:widowControl w:val="0"/>
        <w:autoSpaceDE w:val="0"/>
        <w:autoSpaceDN w:val="0"/>
        <w:spacing w:before="72" w:line="240" w:lineRule="exact"/>
        <w:ind w:left="3346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00</w:t>
      </w:r>
    </w:p>
    <w:p>
      <w:pPr>
        <w:framePr w:w="1200" w:x="655" w:y="388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股东名称</w:t>
      </w:r>
    </w:p>
    <w:p>
      <w:pPr>
        <w:framePr w:w="1200" w:x="3971" w:y="388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减持期间</w:t>
      </w:r>
    </w:p>
    <w:p>
      <w:pPr>
        <w:framePr w:w="1932" w:x="1863" w:y="404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量（股）</w:t>
      </w:r>
      <w:r>
        <w:rPr>
          <w:rFonts w:eastAsiaTheme="minorEastAsia" w:hAnsiTheme="minorHAnsi" w:cstheme="minorBidi"/>
          <w:color w:val="000000"/>
          <w:spacing w:val="19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比例</w:t>
      </w:r>
    </w:p>
    <w:p>
      <w:pPr>
        <w:framePr w:w="480" w:x="5533" w:y="404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式</w:t>
      </w:r>
    </w:p>
    <w:p>
      <w:pPr>
        <w:framePr w:w="6325" w:x="775" w:y="4405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陈绪潇</w:t>
      </w:r>
      <w:r>
        <w:rPr>
          <w:rFonts w:eastAsiaTheme="minorEastAsia" w:hAnsiTheme="minorHAnsi" w:cstheme="minorBidi"/>
          <w:color w:val="000000"/>
          <w:spacing w:val="38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500,000</w:t>
      </w:r>
      <w:r>
        <w:rPr>
          <w:rFonts w:ascii="SimSun" w:eastAsiaTheme="minorEastAsia" w:hAnsiTheme="minorHAnsi" w:cstheme="minorBidi"/>
          <w:color w:val="000000"/>
          <w:spacing w:val="13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0.318</w:t>
      </w:r>
      <w:r>
        <w:rPr>
          <w:rFonts w:ascii="SimSun" w:eastAsiaTheme="minorEastAsia" w:hAnsiTheme="minorHAnsi" w:cstheme="minorBidi"/>
          <w:color w:val="000000"/>
          <w:spacing w:val="96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2020/8/14</w:t>
      </w:r>
      <w:r>
        <w:rPr>
          <w:rFonts w:ascii="SimSun" w:eastAsiaTheme="minorEastAsia" w:hAnsiTheme="minorHAnsi" w:cstheme="minorBidi"/>
          <w:color w:val="000000"/>
          <w:spacing w:val="21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集中竞</w:t>
      </w:r>
      <w:r>
        <w:rPr>
          <w:rFonts w:eastAsiaTheme="minorEastAsia" w:hAnsiTheme="minorHAnsi" w:cstheme="minorBidi"/>
          <w:color w:val="000000"/>
          <w:spacing w:val="214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15.84</w:t>
      </w:r>
    </w:p>
    <w:p>
      <w:pPr>
        <w:framePr w:w="3826" w:x="3394" w:y="4717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9%</w:t>
      </w:r>
      <w:r>
        <w:rPr>
          <w:rFonts w:ascii="SimSun" w:eastAsiaTheme="minorEastAsia" w:hAnsiTheme="minorHAnsi" w:cstheme="minorBidi"/>
          <w:color w:val="000000"/>
          <w:spacing w:val="9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～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2020/9/7</w:t>
      </w:r>
      <w:r>
        <w:rPr>
          <w:rFonts w:ascii="SimSun" w:eastAsiaTheme="minorEastAsia" w:hAnsiTheme="minorHAnsi" w:cstheme="minorBidi"/>
          <w:color w:val="000000"/>
          <w:spacing w:val="9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价交易</w:t>
      </w:r>
      <w:r>
        <w:rPr>
          <w:rFonts w:eastAsiaTheme="minorEastAsia" w:hAnsiTheme="minorHAnsi" w:cstheme="minorBidi"/>
          <w:color w:val="000000"/>
          <w:spacing w:val="214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-19.53</w:t>
      </w:r>
    </w:p>
    <w:p>
      <w:pPr>
        <w:framePr w:w="360" w:x="11167" w:y="4717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%</w:t>
      </w:r>
    </w:p>
    <w:p>
      <w:pPr>
        <w:framePr w:w="6721" w:x="1800" w:y="527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（二）本次减持事项与股东此前已披露的计划、承诺是否一致</w:t>
      </w:r>
    </w:p>
    <w:p>
      <w:pPr>
        <w:framePr w:w="6721" w:x="1800" w:y="5275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√是</w:t>
      </w:r>
      <w:r>
        <w:rPr>
          <w:rFonts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□否</w:t>
      </w:r>
    </w:p>
    <w:p>
      <w:pPr>
        <w:framePr w:w="8640" w:x="1800" w:y="652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（三）在减持时间区间内，上市公司是否披露高送转或筹划并购重组等重大事项</w:t>
      </w:r>
    </w:p>
    <w:p>
      <w:pPr>
        <w:framePr w:w="1320" w:x="1800" w:y="714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□是</w:t>
      </w:r>
      <w:r>
        <w:rPr>
          <w:rFonts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√否</w:t>
      </w:r>
    </w:p>
    <w:p>
      <w:pPr>
        <w:framePr w:w="3360" w:x="1800" w:y="777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（四）本次减持对公司的影响</w:t>
      </w:r>
    </w:p>
    <w:p>
      <w:pPr>
        <w:framePr w:w="8546" w:x="1800" w:y="839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本次减持计划的实施不会导致公司控制权发生变更，不会对公司治理结构及</w:t>
      </w:r>
    </w:p>
    <w:p>
      <w:pPr>
        <w:framePr w:w="8546" w:x="1800" w:y="839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持续经营产生影响。</w:t>
      </w:r>
    </w:p>
    <w:p>
      <w:pPr>
        <w:framePr w:w="3120" w:x="1800" w:y="948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（五）本所要求的其他事项</w:t>
      </w:r>
    </w:p>
    <w:p>
      <w:pPr>
        <w:framePr w:w="3120" w:x="1800" w:y="9487"/>
        <w:widowControl w:val="0"/>
        <w:autoSpaceDE w:val="0"/>
        <w:autoSpaceDN w:val="0"/>
        <w:spacing w:before="305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无</w:t>
      </w:r>
    </w:p>
    <w:p>
      <w:pPr>
        <w:framePr w:w="2160" w:x="1800" w:y="1057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三、相关风险提示</w:t>
      </w:r>
    </w:p>
    <w:p>
      <w:pPr>
        <w:framePr w:w="8640" w:x="1800" w:y="1120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Cs w:val="22"/>
          <w:lang w:val="en-US" w:eastAsia="en-US" w:bidi="ar-SA"/>
        </w:rPr>
        <w:t>（一）减持计划实施的不确定性风险，如计划实施的前提条件、限制性条件以</w:t>
      </w:r>
      <w:r>
        <w:rPr>
          <w:rFonts w:eastAsiaTheme="minorEastAsia" w:hAnsiTheme="minorHAnsi" w:cstheme="minorBidi"/>
          <w:color w:val="000000"/>
          <w:spacing w:val="19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及</w:t>
      </w:r>
    </w:p>
    <w:p>
      <w:pPr>
        <w:framePr w:w="8640" w:x="1800" w:y="1120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相关条件成就或消除的具体情形等</w:t>
      </w:r>
    </w:p>
    <w:p>
      <w:pPr>
        <w:framePr w:w="8640" w:x="1800" w:y="12296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本次减持计划系陈绪潇女士根据自身资金需求自主决定，本次减持计划尚未</w:t>
      </w:r>
    </w:p>
    <w:p>
      <w:pPr>
        <w:framePr w:w="8640" w:x="1800" w:y="1229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完成。在减持期间内，其将根据市场情况、公司股价等因素选择是否实施及如何</w:t>
      </w:r>
    </w:p>
    <w:p>
      <w:pPr>
        <w:framePr w:w="8640" w:x="1800" w:y="1229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实施减持计划，减持数量和价格存在不确定性。</w:t>
      </w:r>
    </w:p>
    <w:p>
      <w:pPr>
        <w:framePr w:w="6975" w:x="1800" w:y="138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（二）减持计划实施是否会导致上市公司控制权发生变更的风险</w:t>
      </w:r>
    </w:p>
    <w:p>
      <w:pPr>
        <w:framePr w:w="6975" w:x="1800" w:y="13856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（三）其他风险</w:t>
      </w:r>
    </w:p>
    <w:p>
      <w:pPr>
        <w:framePr w:w="1323" w:x="8903" w:y="138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□是</w:t>
      </w:r>
      <w:r>
        <w:rPr>
          <w:rFonts w:eastAsiaTheme="minorEastAsia" w:hAnsiTheme="minorHAnsi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2"/>
          <w:szCs w:val="22"/>
          <w:lang w:val="en-US" w:eastAsia="en-US" w:bidi="ar-SA"/>
        </w:rPr>
        <w:t>√否</w:t>
      </w:r>
    </w:p>
    <w:p>
      <w:pPr>
        <w:framePr w:w="8160" w:x="2280" w:y="1494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公司将会继续关注陈绪潇女士减持计划的后续实施情况，并督促其严格遵守</w:t>
      </w:r>
    </w:p>
    <w:p>
      <w:pPr>
        <w:framePr w:w="331" w:x="5907" w:y="15388"/>
        <w:widowControl w:val="0"/>
        <w:autoSpaceDE w:val="0"/>
        <w:autoSpaceDN w:val="0"/>
        <w:spacing w:line="220" w:lineRule="exact"/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546.65pt;height:69.8pt;margin-top:181.45pt;margin-left:24.45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76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相关法律法规及监管要求，及时履行信息披露义务。</w:t>
      </w:r>
    </w:p>
    <w:p>
      <w:pPr>
        <w:framePr w:w="5760" w:x="1800" w:y="1535"/>
        <w:widowControl w:val="0"/>
        <w:autoSpaceDE w:val="0"/>
        <w:autoSpaceDN w:val="0"/>
        <w:spacing w:before="384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1" w:x="6508" w:y="340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1" w:x="6508" w:y="3407"/>
        <w:widowControl w:val="0"/>
        <w:autoSpaceDE w:val="0"/>
        <w:autoSpaceDN w:val="0"/>
        <w:spacing w:before="384" w:line="240" w:lineRule="exact"/>
        <w:ind w:left="1776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9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framePr w:w="331" w:x="5907" w:y="15388"/>
        <w:widowControl w:val="0"/>
        <w:autoSpaceDE w:val="0"/>
        <w:autoSpaceDN w:val="0"/>
        <w:spacing w:line="220" w:lineRule="exact"/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