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3 -->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730" w:x="5459" w:y="845"/>
        <w:widowControl w:val="0"/>
        <w:autoSpaceDE w:val="0"/>
        <w:autoSpaceDN w:val="0"/>
        <w:spacing w:line="220" w:lineRule="exact"/>
        <w:rPr>
          <w:rFonts w:hAnsi="Calibri"/>
          <w:color w:val="000000"/>
          <w:sz w:val="18"/>
          <w:szCs w:val="22"/>
          <w:lang w:val="en-US" w:eastAsia="en-US" w:bidi="ar-SA"/>
        </w:rPr>
      </w:pPr>
      <w:r>
        <w:rPr>
          <w:rFonts w:ascii="Calibri" w:hAnsi="Calibri"/>
          <w:color w:val="000000"/>
          <w:sz w:val="18"/>
          <w:szCs w:val="22"/>
          <w:lang w:val="en-US" w:eastAsia="en-US" w:bidi="ar-SA"/>
        </w:rPr>
        <w:t>2020</w:t>
      </w:r>
      <w:r>
        <w:rPr>
          <w:rFonts w:ascii="Calibri" w:hAnsi="Calibri"/>
          <w:color w:val="000000"/>
          <w:spacing w:val="5"/>
          <w:sz w:val="18"/>
          <w:szCs w:val="22"/>
          <w:lang w:val="en-US" w:eastAsia="en-US" w:bidi="ar-SA"/>
        </w:rPr>
        <w:t xml:space="preserve"> </w:t>
      </w:r>
      <w:r>
        <w:rPr>
          <w:rFonts w:ascii="SimSun" w:hAnsi="SimSun" w:cs="SimSun"/>
          <w:color w:val="000000"/>
          <w:sz w:val="18"/>
          <w:szCs w:val="22"/>
          <w:lang w:val="en-US" w:eastAsia="en-US" w:bidi="ar-SA"/>
        </w:rPr>
        <w:t>年半年度报告</w:t>
      </w:r>
    </w:p>
    <w:p>
      <w:pPr>
        <w:framePr w:w="1930" w:x="1798" w:y="1656"/>
        <w:widowControl w:val="0"/>
        <w:autoSpaceDE w:val="0"/>
        <w:autoSpaceDN w:val="0"/>
        <w:spacing w:line="211" w:lineRule="exact"/>
        <w:rPr>
          <w:rFonts w:ascii="SimSun" w:hAnsi="Calibri"/>
          <w:color w:val="000000"/>
          <w:sz w:val="21"/>
          <w:szCs w:val="22"/>
          <w:lang w:val="en-US" w:eastAsia="en-US" w:bidi="ar-SA"/>
        </w:rPr>
      </w:pPr>
      <w:r>
        <w:rPr>
          <w:rFonts w:ascii="SimSun" w:hAnsi="SimSun" w:cs="SimSun"/>
          <w:color w:val="000000"/>
          <w:sz w:val="21"/>
          <w:szCs w:val="22"/>
          <w:lang w:val="en-US" w:eastAsia="en-US" w:bidi="ar-SA"/>
        </w:rPr>
        <w:t>公司代码：</w:t>
      </w:r>
      <w:r>
        <w:rPr>
          <w:rFonts w:ascii="SimSun" w:hAnsi="Calibri"/>
          <w:color w:val="000000"/>
          <w:sz w:val="21"/>
          <w:szCs w:val="22"/>
          <w:lang w:val="en-US" w:eastAsia="en-US" w:bidi="ar-SA"/>
        </w:rPr>
        <w:t>603086</w:t>
      </w:r>
    </w:p>
    <w:p>
      <w:pPr>
        <w:framePr w:w="2141" w:x="8730" w:y="1656"/>
        <w:widowControl w:val="0"/>
        <w:autoSpaceDE w:val="0"/>
        <w:autoSpaceDN w:val="0"/>
        <w:spacing w:line="211" w:lineRule="exact"/>
        <w:rPr>
          <w:rFonts w:hAnsi="Calibri"/>
          <w:color w:val="000000"/>
          <w:sz w:val="21"/>
          <w:szCs w:val="22"/>
          <w:lang w:val="en-US" w:eastAsia="en-US" w:bidi="ar-SA"/>
        </w:rPr>
      </w:pPr>
      <w:r>
        <w:rPr>
          <w:rFonts w:ascii="SimSun" w:hAnsi="SimSun" w:cs="SimSun"/>
          <w:color w:val="000000"/>
          <w:sz w:val="21"/>
          <w:szCs w:val="22"/>
          <w:lang w:val="en-US" w:eastAsia="en-US" w:bidi="ar-SA"/>
        </w:rPr>
        <w:t>公司简称：先达股份</w:t>
      </w:r>
    </w:p>
    <w:p>
      <w:pPr>
        <w:framePr w:w="5537" w:x="3564" w:y="6364"/>
        <w:widowControl w:val="0"/>
        <w:autoSpaceDE w:val="0"/>
        <w:autoSpaceDN w:val="0"/>
        <w:spacing w:line="439" w:lineRule="exact"/>
        <w:rPr>
          <w:rFonts w:hAnsi="Calibri"/>
          <w:color w:val="000000"/>
          <w:sz w:val="44"/>
          <w:szCs w:val="22"/>
          <w:lang w:val="en-US" w:eastAsia="en-US" w:bidi="ar-SA"/>
        </w:rPr>
      </w:pPr>
      <w:r>
        <w:rPr>
          <w:rFonts w:ascii="SimHei" w:hAnsi="SimHei" w:cs="SimHei"/>
          <w:color w:val="000000"/>
          <w:spacing w:val="2"/>
          <w:sz w:val="44"/>
          <w:szCs w:val="22"/>
          <w:lang w:val="en-US" w:eastAsia="en-US" w:bidi="ar-SA"/>
        </w:rPr>
        <w:t>山东先达农化股份有限公司</w:t>
      </w:r>
    </w:p>
    <w:p>
      <w:pPr>
        <w:framePr w:w="5537" w:x="3564" w:y="6364"/>
        <w:widowControl w:val="0"/>
        <w:autoSpaceDE w:val="0"/>
        <w:autoSpaceDN w:val="0"/>
        <w:spacing w:before="132" w:line="439" w:lineRule="exact"/>
        <w:ind w:left="826"/>
        <w:rPr>
          <w:rFonts w:hAnsi="Calibri"/>
          <w:color w:val="000000"/>
          <w:sz w:val="44"/>
          <w:szCs w:val="22"/>
          <w:lang w:val="en-US" w:eastAsia="en-US" w:bidi="ar-SA"/>
        </w:rPr>
      </w:pPr>
      <w:r>
        <w:rPr>
          <w:rFonts w:ascii="SimHei" w:hAnsi="Calibri"/>
          <w:color w:val="000000"/>
          <w:spacing w:val="2"/>
          <w:sz w:val="44"/>
          <w:szCs w:val="22"/>
          <w:lang w:val="en-US" w:eastAsia="en-US" w:bidi="ar-SA"/>
        </w:rPr>
        <w:t>2020</w:t>
      </w:r>
      <w:r>
        <w:rPr>
          <w:rFonts w:ascii="SimHei" w:hAnsi="SimHei" w:cs="SimHei"/>
          <w:color w:val="000000"/>
          <w:spacing w:val="2"/>
          <w:sz w:val="44"/>
          <w:szCs w:val="22"/>
          <w:lang w:val="en-US" w:eastAsia="en-US" w:bidi="ar-SA"/>
        </w:rPr>
        <w:t>年半年度报告</w:t>
      </w:r>
    </w:p>
    <w:p>
      <w:pPr>
        <w:framePr w:w="756" w:x="5955" w:y="15388"/>
        <w:widowControl w:val="0"/>
        <w:autoSpaceDE w:val="0"/>
        <w:autoSpaceDN w:val="0"/>
        <w:spacing w:line="220" w:lineRule="exact"/>
        <w:rPr>
          <w:rFonts w:ascii="Calibri" w:hAnsi="Calibri"/>
          <w:b/>
          <w:color w:val="000000"/>
          <w:sz w:val="18"/>
          <w:szCs w:val="22"/>
          <w:lang w:val="en-US" w:eastAsia="en-US" w:bidi="ar-SA"/>
        </w:rPr>
      </w:pPr>
      <w:r>
        <w:rPr>
          <w:rFonts w:ascii="Calibri" w:hAnsi="Calibri"/>
          <w:b/>
          <w:color w:val="000000"/>
          <w:sz w:val="18"/>
          <w:szCs w:val="22"/>
          <w:lang w:val="en-US" w:eastAsia="en-US" w:bidi="ar-SA"/>
        </w:rPr>
        <w:t>1</w:t>
      </w:r>
      <w:r>
        <w:rPr>
          <w:rFonts w:ascii="Calibri" w:hAnsi="Calibri"/>
          <w:b/>
          <w:color w:val="000000"/>
          <w:sz w:val="18"/>
          <w:szCs w:val="22"/>
          <w:lang w:val="en-US" w:eastAsia="en-US" w:bidi="ar-SA"/>
        </w:rPr>
        <w:t xml:space="preserve"> </w:t>
      </w:r>
      <w:r>
        <w:rPr>
          <w:rFonts w:ascii="Calibri" w:hAnsi="Calibri"/>
          <w:color w:val="000000"/>
          <w:sz w:val="18"/>
          <w:szCs w:val="22"/>
          <w:lang w:val="en-US" w:eastAsia="en-US" w:bidi="ar-SA"/>
        </w:rPr>
        <w:t>/</w:t>
      </w:r>
      <w:r>
        <w:rPr>
          <w:rFonts w:ascii="Calibri" w:hAnsi="Calibri"/>
          <w:color w:val="000000"/>
          <w:sz w:val="18"/>
          <w:szCs w:val="22"/>
          <w:lang w:val="en-US" w:eastAsia="en-US" w:bidi="ar-SA"/>
        </w:rPr>
        <w:t xml:space="preserve"> </w:t>
      </w:r>
      <w:r>
        <w:rPr>
          <w:rFonts w:ascii="Calibri" w:hAnsi="Calibri"/>
          <w:b/>
          <w:color w:val="000000"/>
          <w:sz w:val="18"/>
          <w:szCs w:val="22"/>
          <w:lang w:val="en-US" w:eastAsia="en-US" w:bidi="ar-SA"/>
        </w:rPr>
        <w:t>147</w:t>
      </w:r>
    </w:p>
    <w:p>
      <w:pPr>
        <w:spacing w:line="0" w:lineRule="atLeast"/>
        <w:rPr>
          <w:rFonts w:ascii="Arial" w:hAnsi="Calibr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45.6pt;height:2.7pt;margin-top:53.5pt;margin-left:87.45pt;mso-position-horizontal-relative:page;mso-position-vertical-relative:page;position:absolute;z-index:-251507712">
            <v:imagedata r:id="rId4" o:title=""/>
          </v:shape>
        </w:pict>
      </w:r>
      <w:r>
        <w:rPr>
          <w:noProof/>
        </w:rPr>
        <w:pict>
          <v:shape id="_x0000_s1026" type="#_x0000_t75" style="width:145.3pt;height:93.45pt;margin-top:181.65pt;margin-left:238.05pt;mso-position-horizontal-relative:page;mso-position-vertical-relative:page;position:absolute;z-index:-251658240">
            <v:imagedata r:id="rId5" o:title=""/>
          </v:shape>
        </w:pict>
      </w:r>
    </w:p>
    <w:p>
      <w:pPr>
        <w:spacing w:line="0" w:lineRule="atLeast"/>
        <w:rPr>
          <w:rFonts w:ascii="Arial" w:eastAsiaTheme="minorEastAsia" w:hAnsiTheme="minorHAnsi" w:cstheme="minorBidi"/>
          <w:color w:val="FF0000"/>
          <w:sz w:val="2"/>
          <w:szCs w:val="22"/>
          <w:lang w:val="en-US" w:eastAsia="en-US" w:bidi="ar-SA"/>
        </w:rPr>
      </w:pPr>
      <w:bookmarkStart w:id="1" w:name="br1_0"/>
      <w:bookmarkEnd w:id="1"/>
      <w:r>
        <w:rPr>
          <w:rFonts w:ascii="Arial" w:eastAsiaTheme="minorEastAsia" w:hAnsiTheme="minorHAnsi" w:cstheme="minorBidi"/>
          <w:color w:val="FF0000"/>
          <w:sz w:val="2"/>
          <w:szCs w:val="22"/>
          <w:lang w:val="en-US" w:eastAsia="en-US" w:bidi="ar-SA"/>
        </w:rPr>
        <w:t xml:space="preserve"> </w:t>
      </w:r>
    </w:p>
    <w:p>
      <w:pPr>
        <w:framePr w:w="1730" w:x="5459" w:y="845"/>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365" w:x="5651" w:y="15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2"/>
          <w:sz w:val="28"/>
          <w:szCs w:val="22"/>
          <w:lang w:val="en-US" w:eastAsia="en-US" w:bidi="ar-SA"/>
        </w:rPr>
        <w:t>重要提示</w:t>
      </w:r>
    </w:p>
    <w:p>
      <w:pPr>
        <w:framePr w:w="9110" w:x="1798" w:y="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一、本公司董事会、监事会及董事、监事、高级管理人员保证半年度报告内容的真实、准确、完</w:t>
      </w:r>
    </w:p>
    <w:p>
      <w:pPr>
        <w:framePr w:w="9110" w:x="1798" w:y="2200"/>
        <w:widowControl w:val="0"/>
        <w:autoSpaceDE w:val="0"/>
        <w:autoSpaceDN w:val="0"/>
        <w:spacing w:before="199" w:line="211" w:lineRule="exact"/>
        <w:ind w:left="3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整，不存在虚假记载、误导性陈述或重大遗漏，并承担个别和连带的法律责任。</w:t>
      </w:r>
    </w:p>
    <w:p>
      <w:pPr>
        <w:framePr w:w="3641" w:x="1798" w:y="31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二、公司全体董事出席董事会会议。</w:t>
      </w:r>
    </w:p>
    <w:p>
      <w:pPr>
        <w:framePr w:w="3641" w:x="1798" w:y="3139"/>
        <w:widowControl w:val="0"/>
        <w:autoSpaceDE w:val="0"/>
        <w:autoSpaceDN w:val="0"/>
        <w:spacing w:before="3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本半年度报告未经审计。</w:t>
      </w:r>
    </w:p>
    <w:p>
      <w:pPr>
        <w:framePr w:w="9110" w:x="1798" w:y="41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四、公司负责人王现全、主管会计工作负责人江广同及会计机构负责人（会计主管人员）江广同</w:t>
      </w:r>
    </w:p>
    <w:p>
      <w:pPr>
        <w:framePr w:w="9110" w:x="1798" w:y="419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声明：保证半年度报告中财务报告的真实、准确、完整。</w:t>
      </w:r>
    </w:p>
    <w:p>
      <w:pPr>
        <w:framePr w:w="6211" w:x="1798" w:y="51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经董事会审议的报告期利润分配预案或公积金转增股本预案</w:t>
      </w:r>
    </w:p>
    <w:p>
      <w:pPr>
        <w:framePr w:w="451" w:x="2218" w:y="56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854" w:x="1798" w:y="61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w:t>
      </w:r>
      <w:r>
        <w:rPr>
          <w:rFonts w:eastAsiaTheme="minorEastAsia" w:hAnsiTheme="minorHAnsi" w:cstheme="minorBidi"/>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前瞻性陈述的风险声明</w:t>
      </w:r>
    </w:p>
    <w:p>
      <w:pPr>
        <w:framePr w:w="1817" w:x="1798" w:y="67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711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本报告中所涉及的未来计划、发展战略等前瞻性描述不构成公司对投资者的实质承诺，敬请</w:t>
      </w:r>
    </w:p>
    <w:p>
      <w:pPr>
        <w:framePr w:w="9068" w:x="1798" w:y="71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投资者注意投资风险。</w:t>
      </w:r>
    </w:p>
    <w:p>
      <w:pPr>
        <w:framePr w:w="5734" w:x="1798" w:y="8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七、是否存在被控股股东及其关联方非经营性占用资金情况</w:t>
      </w:r>
    </w:p>
    <w:p>
      <w:pPr>
        <w:framePr w:w="451" w:x="2218" w:y="85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5369" w:x="1798" w:y="91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是否存在违反规定决策程序对外提供担保的情况？</w:t>
      </w:r>
    </w:p>
    <w:p>
      <w:pPr>
        <w:framePr w:w="451" w:x="2218" w:y="9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1997" w:x="1798" w:y="101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重大风险提示</w:t>
      </w:r>
    </w:p>
    <w:p>
      <w:pPr>
        <w:framePr w:w="9068" w:x="1798" w:y="106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报告期内，公司不存在对生产经营产生实质性影响的特别重大风险。公司已在本报告第四节</w:t>
      </w:r>
    </w:p>
    <w:p>
      <w:pPr>
        <w:framePr w:w="9068" w:x="1798" w:y="106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“经营情况讨论与分析”等有关章节详细描述了公司可能面临的风险，敬请投资者予以关注。</w:t>
      </w:r>
    </w:p>
    <w:p>
      <w:pPr>
        <w:framePr w:w="1152" w:x="1798" w:y="11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121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27" type="#_x0000_t75" style="width:445.6pt;height:2.7pt;margin-top:53.5pt;margin-left:87.45pt;mso-position-horizontal-relative:page;mso-position-vertical-relative:page;position:absolute;z-index:-2516572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 w:name="br1_1"/>
      <w:bookmarkEnd w:id="2"/>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7804" w:x="3058" w:y="1793"/>
        <w:widowControl w:val="0"/>
        <w:autoSpaceDE w:val="0"/>
        <w:autoSpaceDN w:val="0"/>
        <w:spacing w:line="319" w:lineRule="exact"/>
        <w:ind w:left="2835"/>
        <w:rPr>
          <w:rFonts w:eastAsiaTheme="minorEastAsia" w:hAnsiTheme="minorHAnsi" w:cstheme="minorBidi"/>
          <w:color w:val="000000"/>
          <w:sz w:val="32"/>
          <w:szCs w:val="22"/>
          <w:lang w:val="en-US" w:eastAsia="en-US" w:bidi="ar-SA"/>
        </w:rPr>
      </w:pPr>
      <w:r>
        <w:rPr>
          <w:rFonts w:ascii="SimSun" w:hAnsi="SimSun" w:eastAsiaTheme="minorEastAsia" w:cs="SimSun"/>
          <w:color w:val="000000"/>
          <w:spacing w:val="2"/>
          <w:sz w:val="32"/>
          <w:szCs w:val="22"/>
          <w:lang w:val="en-US" w:eastAsia="en-US" w:bidi="ar-SA"/>
        </w:rPr>
        <w:t>目录</w:t>
      </w:r>
    </w:p>
    <w:p>
      <w:pPr>
        <w:framePr w:w="7804" w:x="3058" w:y="1793"/>
        <w:widowControl w:val="0"/>
        <w:autoSpaceDE w:val="0"/>
        <w:autoSpaceDN w:val="0"/>
        <w:spacing w:before="50"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4"/>
            <w:sz w:val="21"/>
            <w:szCs w:val="22"/>
            <w:lang w:val="en-US" w:eastAsia="en-US" w:bidi="ar-SA"/>
          </w:rPr>
          <w:t>释义</w:t>
        </w:r>
      </w:hyperlink>
      <w:hyperlink w:anchor="br0" w:history="1">
        <w:r>
          <w:rPr>
            <w:rFonts w:eastAsiaTheme="minorEastAsia" w:hAnsiTheme="minorHAnsi" w:cstheme="minorBidi"/>
            <w:b/>
            <w:color w:val="000000"/>
            <w:sz w:val="21"/>
            <w:szCs w:val="22"/>
            <w:lang w:val="en-US" w:eastAsia="en-US" w:bidi="ar-SA"/>
          </w:rPr>
          <w:t>.....................................................................................................................................4</w:t>
        </w:r>
      </w:hyperlink>
    </w:p>
    <w:p>
      <w:pPr>
        <w:framePr w:w="1085" w:x="1798" w:y="2169"/>
        <w:widowControl w:val="0"/>
        <w:autoSpaceDE w:val="0"/>
        <w:autoSpaceDN w:val="0"/>
        <w:spacing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第一节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第二节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第三节</w:t>
        </w:r>
      </w:hyperlink>
    </w:p>
    <w:p>
      <w:pPr>
        <w:framePr w:w="1085" w:x="1798" w:y="2169"/>
        <w:widowControl w:val="0"/>
        <w:autoSpaceDE w:val="0"/>
        <w:autoSpaceDN w:val="0"/>
        <w:spacing w:before="199"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第四节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第五节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第六节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第七节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第八节</w:t>
        </w:r>
      </w:hyperlink>
    </w:p>
    <w:p>
      <w:pPr>
        <w:framePr w:w="1085" w:x="1798" w:y="2169"/>
        <w:widowControl w:val="0"/>
        <w:autoSpaceDE w:val="0"/>
        <w:autoSpaceDN w:val="0"/>
        <w:spacing w:before="200"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第九节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第十节</w:t>
        </w:r>
      </w:hyperlink>
    </w:p>
    <w:p>
      <w:pPr>
        <w:framePr w:w="1085" w:x="1798" w:y="2169"/>
        <w:widowControl w:val="0"/>
        <w:autoSpaceDE w:val="0"/>
        <w:autoSpaceDN w:val="0"/>
        <w:spacing w:before="197" w:line="211" w:lineRule="exact"/>
        <w:rPr>
          <w:rFonts w:eastAsiaTheme="minorEastAsia" w:hAnsiTheme="minorHAnsi" w:cstheme="minorBidi"/>
          <w:color w:val="000000"/>
          <w:sz w:val="21"/>
          <w:szCs w:val="22"/>
          <w:lang w:val="en-US" w:eastAsia="en-US" w:bidi="ar-SA"/>
        </w:rPr>
      </w:pPr>
      <w:hyperlink w:anchor="br0" w:history="1">
        <w:r>
          <w:rPr>
            <w:rFonts w:ascii="SimSun" w:hAnsi="SimSun" w:eastAsiaTheme="minorEastAsia" w:cs="SimSun"/>
            <w:color w:val="000000"/>
            <w:spacing w:val="1"/>
            <w:sz w:val="21"/>
            <w:szCs w:val="22"/>
            <w:lang w:val="en-US" w:eastAsia="en-US" w:bidi="ar-SA"/>
          </w:rPr>
          <w:t>第十一节</w:t>
        </w:r>
      </w:hyperlink>
    </w:p>
    <w:p>
      <w:pPr>
        <w:framePr w:w="7806" w:x="3058" w:y="2571"/>
        <w:widowControl w:val="0"/>
        <w:autoSpaceDE w:val="0"/>
        <w:autoSpaceDN w:val="0"/>
        <w:spacing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公司简介和主要财务指标</w:t>
        </w:r>
      </w:hyperlink>
      <w:hyperlink w:anchor="br0" w:history="1">
        <w:r>
          <w:rPr>
            <w:rFonts w:eastAsiaTheme="minorEastAsia" w:hAnsiTheme="minorHAnsi" w:cstheme="minorBidi"/>
            <w:b/>
            <w:color w:val="000000"/>
            <w:sz w:val="21"/>
            <w:szCs w:val="22"/>
            <w:lang w:val="en-US" w:eastAsia="en-US" w:bidi="ar-SA"/>
          </w:rPr>
          <w:t>.................................................................................................4</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公司业务概要</w:t>
        </w:r>
      </w:hyperlink>
      <w:hyperlink w:anchor="br0" w:history="1">
        <w:r>
          <w:rPr>
            <w:rFonts w:eastAsiaTheme="minorEastAsia" w:hAnsiTheme="minorHAnsi" w:cstheme="minorBidi"/>
            <w:b/>
            <w:color w:val="000000"/>
            <w:sz w:val="21"/>
            <w:szCs w:val="22"/>
            <w:lang w:val="en-US" w:eastAsia="en-US" w:bidi="ar-SA"/>
          </w:rPr>
          <w:t>.....................................................................................................................7</w:t>
        </w:r>
      </w:hyperlink>
    </w:p>
    <w:p>
      <w:pPr>
        <w:framePr w:w="7806" w:x="3058" w:y="2571"/>
        <w:widowControl w:val="0"/>
        <w:autoSpaceDE w:val="0"/>
        <w:autoSpaceDN w:val="0"/>
        <w:spacing w:before="177"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经营情况的讨论与分析</w:t>
        </w:r>
      </w:hyperlink>
      <w:hyperlink w:anchor="br0" w:history="1">
        <w:r>
          <w:rPr>
            <w:rFonts w:eastAsiaTheme="minorEastAsia" w:hAnsiTheme="minorHAnsi" w:cstheme="minorBidi"/>
            <w:b/>
            <w:color w:val="000000"/>
            <w:sz w:val="21"/>
            <w:szCs w:val="22"/>
            <w:lang w:val="en-US" w:eastAsia="en-US" w:bidi="ar-SA"/>
          </w:rPr>
          <w:t>...................................................................................................10</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3"/>
            <w:sz w:val="21"/>
            <w:szCs w:val="22"/>
            <w:lang w:val="en-US" w:eastAsia="en-US" w:bidi="ar-SA"/>
          </w:rPr>
          <w:t>重要事项</w:t>
        </w:r>
      </w:hyperlink>
      <w:hyperlink w:anchor="br0" w:history="1">
        <w:r>
          <w:rPr>
            <w:rFonts w:eastAsiaTheme="minorEastAsia" w:hAnsiTheme="minorHAnsi" w:cstheme="minorBidi"/>
            <w:b/>
            <w:color w:val="000000"/>
            <w:sz w:val="21"/>
            <w:szCs w:val="22"/>
            <w:lang w:val="en-US" w:eastAsia="en-US" w:bidi="ar-SA"/>
          </w:rPr>
          <w:t>...........................................................................................................................15</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普通股股份变动及股东情况</w:t>
        </w:r>
      </w:hyperlink>
      <w:hyperlink w:anchor="br0" w:history="1">
        <w:r>
          <w:rPr>
            <w:rFonts w:eastAsiaTheme="minorEastAsia" w:hAnsiTheme="minorHAnsi" w:cstheme="minorBidi"/>
            <w:b/>
            <w:color w:val="000000"/>
            <w:sz w:val="21"/>
            <w:szCs w:val="22"/>
            <w:lang w:val="en-US" w:eastAsia="en-US" w:bidi="ar-SA"/>
          </w:rPr>
          <w:t>...........................................................................................28</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优先股相关情况</w:t>
        </w:r>
      </w:hyperlink>
      <w:hyperlink w:anchor="br0" w:history="1">
        <w:r>
          <w:rPr>
            <w:rFonts w:eastAsiaTheme="minorEastAsia" w:hAnsiTheme="minorHAnsi" w:cstheme="minorBidi"/>
            <w:b/>
            <w:color w:val="000000"/>
            <w:sz w:val="21"/>
            <w:szCs w:val="22"/>
            <w:lang w:val="en-US" w:eastAsia="en-US" w:bidi="ar-SA"/>
          </w:rPr>
          <w:t>...............................................................................................................30</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董事、监事、高级管理人员情况</w:t>
        </w:r>
      </w:hyperlink>
      <w:hyperlink w:anchor="br0" w:history="1">
        <w:r>
          <w:rPr>
            <w:rFonts w:eastAsiaTheme="minorEastAsia" w:hAnsiTheme="minorHAnsi" w:cstheme="minorBidi"/>
            <w:b/>
            <w:color w:val="000000"/>
            <w:sz w:val="21"/>
            <w:szCs w:val="22"/>
            <w:lang w:val="en-US" w:eastAsia="en-US" w:bidi="ar-SA"/>
          </w:rPr>
          <w:t>...................................................................................31</w:t>
        </w:r>
      </w:hyperlink>
    </w:p>
    <w:p>
      <w:pPr>
        <w:framePr w:w="7806" w:x="3058" w:y="2571"/>
        <w:widowControl w:val="0"/>
        <w:autoSpaceDE w:val="0"/>
        <w:autoSpaceDN w:val="0"/>
        <w:spacing w:before="177"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公司债券相关情况</w:t>
        </w:r>
      </w:hyperlink>
      <w:hyperlink w:anchor="br0" w:history="1">
        <w:r>
          <w:rPr>
            <w:rFonts w:eastAsiaTheme="minorEastAsia" w:hAnsiTheme="minorHAnsi" w:cstheme="minorBidi"/>
            <w:b/>
            <w:color w:val="000000"/>
            <w:sz w:val="21"/>
            <w:szCs w:val="22"/>
            <w:lang w:val="en-US" w:eastAsia="en-US" w:bidi="ar-SA"/>
          </w:rPr>
          <w:t>...........................................................................................................31</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3"/>
            <w:sz w:val="21"/>
            <w:szCs w:val="22"/>
            <w:lang w:val="en-US" w:eastAsia="en-US" w:bidi="ar-SA"/>
          </w:rPr>
          <w:t>财务报告</w:t>
        </w:r>
      </w:hyperlink>
      <w:hyperlink w:anchor="br0" w:history="1">
        <w:r>
          <w:rPr>
            <w:rFonts w:eastAsiaTheme="minorEastAsia" w:hAnsiTheme="minorHAnsi" w:cstheme="minorBidi"/>
            <w:b/>
            <w:color w:val="000000"/>
            <w:sz w:val="21"/>
            <w:szCs w:val="22"/>
            <w:lang w:val="en-US" w:eastAsia="en-US" w:bidi="ar-SA"/>
          </w:rPr>
          <w:t>...........................................................................................................................32</w:t>
        </w:r>
      </w:hyperlink>
    </w:p>
    <w:p>
      <w:pPr>
        <w:framePr w:w="7806" w:x="3058" w:y="2571"/>
        <w:widowControl w:val="0"/>
        <w:autoSpaceDE w:val="0"/>
        <w:autoSpaceDN w:val="0"/>
        <w:spacing w:before="174" w:line="234" w:lineRule="exact"/>
        <w:rPr>
          <w:rFonts w:eastAsiaTheme="minorEastAsia" w:hAnsiTheme="minorHAnsi" w:cstheme="minorBidi"/>
          <w:b/>
          <w:color w:val="000000"/>
          <w:sz w:val="21"/>
          <w:szCs w:val="22"/>
          <w:lang w:val="en-US" w:eastAsia="en-US" w:bidi="ar-SA"/>
        </w:rPr>
      </w:pPr>
      <w:hyperlink w:anchor="br0" w:history="1">
        <w:r>
          <w:rPr>
            <w:rFonts w:ascii="SimSun" w:hAnsi="SimSun" w:eastAsiaTheme="minorEastAsia" w:cs="SimSun"/>
            <w:color w:val="000000"/>
            <w:spacing w:val="2"/>
            <w:sz w:val="21"/>
            <w:szCs w:val="22"/>
            <w:lang w:val="en-US" w:eastAsia="en-US" w:bidi="ar-SA"/>
          </w:rPr>
          <w:t>备查文件目录</w:t>
        </w:r>
      </w:hyperlink>
      <w:hyperlink w:anchor="br0" w:history="1">
        <w:r>
          <w:rPr>
            <w:rFonts w:eastAsiaTheme="minorEastAsia" w:hAnsiTheme="minorHAnsi" w:cstheme="minorBidi"/>
            <w:b/>
            <w:color w:val="000000"/>
            <w:sz w:val="21"/>
            <w:szCs w:val="22"/>
            <w:lang w:val="en-US" w:eastAsia="en-US" w:bidi="ar-SA"/>
          </w:rPr>
          <w:t>.................................................................................................................147</w:t>
        </w:r>
      </w:hyperlink>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28" type="#_x0000_t75" style="width:445.6pt;height:2.7pt;margin-top:53.3pt;margin-left:87.45pt;mso-position-horizontal-relative:page;mso-position-vertical-relative:page;position:absolute;z-index:-2516561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3" w:name="br1_2"/>
      <w:bookmarkEnd w:id="3"/>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53" w:x="5408" w:y="15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第一节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释义</w:t>
      </w:r>
    </w:p>
    <w:p>
      <w:pPr>
        <w:framePr w:w="5942"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在本报告书中，除非文义另有所指，下列词语具有如下含义：</w:t>
      </w:r>
    </w:p>
    <w:p>
      <w:pPr>
        <w:framePr w:w="5942" w:x="1798" w:y="21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常用词语释义</w:t>
      </w:r>
    </w:p>
    <w:p>
      <w:pPr>
        <w:framePr w:w="2563" w:x="1798" w:y="27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本公司、公司、先达股份</w:t>
      </w:r>
    </w:p>
    <w:p>
      <w:pPr>
        <w:framePr w:w="2563" w:x="1798" w:y="27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451" w:x="4386" w:y="27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27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2774" w:x="4883" w:y="27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山东先达农化股份有限公司</w:t>
      </w:r>
    </w:p>
    <w:p>
      <w:pPr>
        <w:framePr w:w="5731" w:x="4883" w:y="2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潍坊先达化工有限公司，本公司之全资子公司</w:t>
      </w:r>
    </w:p>
    <w:p>
      <w:pPr>
        <w:framePr w:w="5731" w:x="4883" w:y="29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济南先达化工科技有限公司，本公司之全资子公司</w:t>
      </w:r>
    </w:p>
    <w:p>
      <w:pPr>
        <w:framePr w:w="5731" w:x="4883" w:y="29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辽宁先达农业科学有限公司，本公司之全资子公司</w:t>
      </w:r>
    </w:p>
    <w:p>
      <w:pPr>
        <w:framePr w:w="5731" w:x="4883" w:y="29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济南瑞斯邦国际贸易有限公司，本公司之全资子公司</w:t>
      </w:r>
    </w:p>
    <w:p>
      <w:pPr>
        <w:framePr w:w="5731" w:x="4883" w:y="29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博兴县盛信达安全技术服务有限公司，本公司之全资子公司</w:t>
      </w:r>
    </w:p>
    <w:p>
      <w:pPr>
        <w:framePr w:w="5731" w:x="4883" w:y="29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香港德胜实业有限公司，本公司之全资子公司</w:t>
      </w:r>
    </w:p>
    <w:p>
      <w:pPr>
        <w:framePr w:w="5731" w:x="4883" w:y="29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沈阳万菱生物技术有限公司，本公司之全资孙公司</w:t>
      </w:r>
    </w:p>
    <w:p>
      <w:pPr>
        <w:framePr w:w="5731" w:x="4883" w:y="298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沈阳先达绿色农业科技有限公司，本公司之全资孙公司</w:t>
      </w:r>
    </w:p>
    <w:p>
      <w:pPr>
        <w:framePr w:w="5731" w:x="4883" w:y="29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中国证券监督管理委员会</w:t>
      </w:r>
    </w:p>
    <w:p>
      <w:pPr>
        <w:framePr w:w="1085" w:x="1798" w:y="3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085" w:x="1798" w:y="35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1798" w:y="38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1798" w:y="383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507" w:x="1798" w:y="383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1798" w:y="46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085" w:x="1798" w:y="4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874" w:x="1798" w:y="52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证监会</w:t>
      </w:r>
    </w:p>
    <w:p>
      <w:pPr>
        <w:framePr w:w="874" w:x="1798" w:y="5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上交所</w:t>
      </w:r>
    </w:p>
    <w:p>
      <w:pPr>
        <w:framePr w:w="1718" w:x="4883" w:y="5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上海证券交易所</w:t>
      </w:r>
    </w:p>
    <w:p>
      <w:pPr>
        <w:framePr w:w="662" w:x="1798" w:y="5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原药</w:t>
      </w:r>
    </w:p>
    <w:p>
      <w:pPr>
        <w:framePr w:w="5673" w:x="4883" w:y="5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以化学加工活生物发酵等手段获得的农药物质是供应生产</w:t>
      </w:r>
    </w:p>
    <w:p>
      <w:pPr>
        <w:framePr w:w="5673" w:x="4883" w:y="581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成品药（制剂）的主要原料</w:t>
      </w:r>
    </w:p>
    <w:p>
      <w:pPr>
        <w:framePr w:w="662" w:x="1798" w:y="6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制剂</w:t>
      </w:r>
    </w:p>
    <w:p>
      <w:pPr>
        <w:framePr w:w="451" w:x="4386" w:y="6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5731" w:x="4883" w:y="6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原药经加工复配后，成为具有一定的形态、组分、性能、规</w:t>
      </w:r>
    </w:p>
    <w:p>
      <w:pPr>
        <w:framePr w:w="5731" w:x="4883" w:y="636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格和用途的产品，可以经稀释后直接用于农作物</w:t>
      </w:r>
    </w:p>
    <w:p>
      <w:pPr>
        <w:framePr w:w="5731" w:x="4883" w:y="636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以石油、煤、焦油为原料，制造农药原药的中间产物</w:t>
      </w:r>
    </w:p>
    <w:p>
      <w:pPr>
        <w:framePr w:w="5731" w:x="4883" w:y="636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用以防除农田杂草的农药</w:t>
      </w:r>
    </w:p>
    <w:p>
      <w:pPr>
        <w:framePr w:w="1296" w:x="1798" w:y="69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农药中间体</w:t>
      </w:r>
    </w:p>
    <w:p>
      <w:pPr>
        <w:framePr w:w="1296" w:x="1798" w:y="692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除草剂</w:t>
      </w:r>
    </w:p>
    <w:p>
      <w:pPr>
        <w:framePr w:w="451" w:x="4386" w:y="69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692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692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451" w:x="4386" w:y="692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p>
    <w:p>
      <w:pPr>
        <w:framePr w:w="1507" w:x="1798" w:y="74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选择性除草剂</w:t>
      </w:r>
    </w:p>
    <w:p>
      <w:pPr>
        <w:framePr w:w="1507" w:x="1798" w:y="74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w:t>
      </w:r>
    </w:p>
    <w:p>
      <w:pPr>
        <w:framePr w:w="4253" w:x="4883" w:y="74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对杂草或作物起到选择性灭杀作用的除草剂</w:t>
      </w:r>
    </w:p>
    <w:p>
      <w:pPr>
        <w:framePr w:w="4253" w:x="4883" w:y="74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用以防治植物病原微生物的农药</w:t>
      </w:r>
    </w:p>
    <w:p>
      <w:pPr>
        <w:framePr w:w="874" w:x="1798" w:y="80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w:t>
      </w:r>
    </w:p>
    <w:p>
      <w:pPr>
        <w:framePr w:w="4152" w:x="4386" w:y="80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w:t>
      </w:r>
      <w:r>
        <w:rPr>
          <w:rFonts w:eastAsiaTheme="minorEastAsia" w:hAnsiTheme="minorHAnsi" w:cstheme="minorBidi"/>
          <w:color w:val="000000"/>
          <w:spacing w:val="23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pacing w:val="1"/>
          <w:sz w:val="21"/>
          <w:szCs w:val="22"/>
          <w:lang w:val="en-US" w:eastAsia="en-US" w:bidi="ar-SA"/>
        </w:rPr>
        <w:t>日至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w:t>
      </w:r>
    </w:p>
    <w:p>
      <w:pPr>
        <w:framePr w:w="4382" w:x="4143" w:y="9490"/>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第二节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公司简介和主要财务指标</w:t>
      </w:r>
    </w:p>
    <w:p>
      <w:pPr>
        <w:framePr w:w="1651" w:x="1798" w:y="10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公司信息</w:t>
      </w:r>
    </w:p>
    <w:p>
      <w:pPr>
        <w:framePr w:w="2141" w:x="1798" w:y="105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公司的中文名称</w:t>
      </w:r>
    </w:p>
    <w:p>
      <w:pPr>
        <w:framePr w:w="2141" w:x="1798" w:y="10565"/>
        <w:widowControl w:val="0"/>
        <w:autoSpaceDE w:val="0"/>
        <w:autoSpaceDN w:val="0"/>
        <w:spacing w:before="9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公司的中文简称</w:t>
      </w:r>
    </w:p>
    <w:p>
      <w:pPr>
        <w:framePr w:w="2141" w:x="1798" w:y="10565"/>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公司的外文名称</w:t>
      </w:r>
    </w:p>
    <w:p>
      <w:pPr>
        <w:framePr w:w="2141" w:x="1798" w:y="10565"/>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公司的外文名称缩写</w:t>
      </w:r>
    </w:p>
    <w:p>
      <w:pPr>
        <w:framePr w:w="2141" w:x="1798" w:y="10565"/>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公司的法定代表人</w:t>
      </w:r>
    </w:p>
    <w:p>
      <w:pPr>
        <w:framePr w:w="2774" w:x="5655" w:y="105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山东先达农化股份有限公司</w:t>
      </w:r>
    </w:p>
    <w:p>
      <w:pPr>
        <w:framePr w:w="1085" w:x="5655" w:y="108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先达股份</w:t>
      </w:r>
    </w:p>
    <w:p>
      <w:pPr>
        <w:framePr w:w="3603" w:x="5655" w:y="111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SHANDONG</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CYNDA</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CHEMICAL</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CO.,LTD.</w:t>
      </w:r>
    </w:p>
    <w:p>
      <w:pPr>
        <w:framePr w:w="768" w:x="5655" w:y="114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CYNDA</w:t>
      </w:r>
    </w:p>
    <w:p>
      <w:pPr>
        <w:framePr w:w="874" w:x="5655" w:y="117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2496" w:x="1798" w:y="1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联系人和联系方式</w:t>
      </w:r>
    </w:p>
    <w:p>
      <w:pPr>
        <w:framePr w:w="1296" w:x="4388" w:y="128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董事会秘书</w:t>
      </w:r>
    </w:p>
    <w:p>
      <w:pPr>
        <w:framePr w:w="1507" w:x="8152" w:y="128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证券事务代表</w:t>
      </w:r>
    </w:p>
    <w:p>
      <w:pPr>
        <w:framePr w:w="662" w:x="1798" w:y="13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7893" w:x="2960" w:y="13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江广同</w:t>
      </w:r>
    </w:p>
    <w:p>
      <w:pPr>
        <w:framePr w:w="7893" w:x="2960" w:y="131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山东省博兴县经济开发区兴博一路</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号</w:t>
      </w:r>
      <w:r>
        <w:rPr>
          <w:rFonts w:eastAsiaTheme="minorEastAsia" w:hAnsiTheme="minorHAnsi" w:cstheme="minorBidi"/>
          <w:color w:val="000000"/>
          <w:spacing w:val="242"/>
          <w:sz w:val="21"/>
          <w:szCs w:val="22"/>
          <w:lang w:val="en-US" w:eastAsia="en-US" w:bidi="ar-SA"/>
        </w:rPr>
        <w:t xml:space="preserve"> </w:t>
      </w:r>
      <w:r>
        <w:rPr>
          <w:rFonts w:ascii="SimSun" w:hAnsi="SimSun" w:eastAsiaTheme="minorEastAsia" w:cs="SimSun"/>
          <w:color w:val="000000"/>
          <w:sz w:val="21"/>
          <w:szCs w:val="22"/>
          <w:lang w:val="en-US" w:eastAsia="en-US" w:bidi="ar-SA"/>
        </w:rPr>
        <w:t>山东省博兴县经济开发区兴博一路</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号</w:t>
      </w:r>
    </w:p>
    <w:p>
      <w:pPr>
        <w:framePr w:w="874" w:x="6933" w:y="13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韩恩娟</w:t>
      </w:r>
    </w:p>
    <w:p>
      <w:pPr>
        <w:framePr w:w="1085" w:x="1798" w:y="1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联系地址</w:t>
      </w:r>
    </w:p>
    <w:p>
      <w:pPr>
        <w:framePr w:w="1085" w:x="1798" w:y="1345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电话</w:t>
      </w:r>
    </w:p>
    <w:p>
      <w:pPr>
        <w:framePr w:w="1507" w:x="2960" w:y="137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0543-2328187</w:t>
      </w:r>
    </w:p>
    <w:p>
      <w:pPr>
        <w:framePr w:w="1507" w:x="2960" w:y="1373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0543-2311216</w:t>
      </w:r>
    </w:p>
    <w:p>
      <w:pPr>
        <w:framePr w:w="1718" w:x="6933" w:y="137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0543-2328187</w:t>
      </w:r>
    </w:p>
    <w:p>
      <w:pPr>
        <w:framePr w:w="1718" w:x="6933" w:y="1373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0543-2311216</w:t>
      </w:r>
    </w:p>
    <w:p>
      <w:pPr>
        <w:framePr w:w="1718" w:x="6933" w:y="1373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cynda@cynda.cn</w:t>
      </w:r>
    </w:p>
    <w:p>
      <w:pPr>
        <w:framePr w:w="662" w:x="1798" w:y="140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传真</w:t>
      </w:r>
    </w:p>
    <w:p>
      <w:pPr>
        <w:framePr w:w="2875" w:x="1798" w:y="143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电子信箱</w:t>
      </w:r>
      <w:r>
        <w:rPr>
          <w:rFonts w:eastAsiaTheme="minorEastAsia" w:hAnsiTheme="minorHAnsi" w:cstheme="minorBidi"/>
          <w:color w:val="000000"/>
          <w:spacing w:val="26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cynda@cynda.cn</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29" type="#_x0000_t75" style="width:445.6pt;height:2.7pt;margin-top:53.3pt;margin-left:87.45pt;mso-position-horizontal-relative:page;mso-position-vertical-relative:page;position:absolute;z-index:-251340800">
            <v:imagedata r:id="rId7" o:title=""/>
          </v:shape>
        </w:pict>
      </w:r>
      <w:r>
        <w:rPr>
          <w:noProof/>
        </w:rPr>
        <w:pict>
          <v:shape id="_x0000_s1030" type="#_x0000_t75" style="width:439.5pt;height:297.95pt;margin-top:118.2pt;margin-left:83.25pt;mso-position-horizontal-relative:page;mso-position-vertical-relative:page;position:absolute;z-index:-251403264">
            <v:imagedata r:id="rId8" o:title=""/>
          </v:shape>
        </w:pict>
      </w:r>
      <w:r>
        <w:rPr>
          <w:noProof/>
        </w:rPr>
        <w:pict>
          <v:shape id="_x0000_s1031" type="#_x0000_t75" style="width:447.3pt;height:78.3pt;margin-top:525.3pt;margin-left:87.1pt;mso-position-horizontal-relative:page;mso-position-vertical-relative:page;position:absolute;z-index:-251506688">
            <v:imagedata r:id="rId9" o:title=""/>
          </v:shape>
        </w:pict>
      </w:r>
      <w:r>
        <w:rPr>
          <w:noProof/>
        </w:rPr>
        <w:pict>
          <v:shape id="_x0000_s1032" type="#_x0000_t75" style="width:447.3pt;height:87.2pt;margin-top:641.6pt;margin-left:87.1pt;mso-position-horizontal-relative:page;mso-position-vertical-relative:page;position:absolute;z-index:-251655168">
            <v:imagedata r:id="rId10" o:title=""/>
          </v:shape>
        </w:pict>
      </w:r>
    </w:p>
    <w:p>
      <w:pPr>
        <w:spacing w:line="0" w:lineRule="atLeast"/>
        <w:rPr>
          <w:rFonts w:ascii="Arial" w:eastAsiaTheme="minorEastAsia" w:hAnsiTheme="minorHAnsi" w:cstheme="minorBidi"/>
          <w:color w:val="FF0000"/>
          <w:sz w:val="2"/>
          <w:szCs w:val="22"/>
          <w:lang w:val="en-US" w:eastAsia="en-US" w:bidi="ar-SA"/>
        </w:rPr>
      </w:pPr>
      <w:bookmarkStart w:id="4" w:name="br1_3"/>
      <w:bookmarkEnd w:id="4"/>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49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基本情况变更简介</w:t>
      </w:r>
    </w:p>
    <w:p>
      <w:pPr>
        <w:framePr w:w="1507" w:x="1798" w:y="2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公司注册地址</w:t>
      </w:r>
    </w:p>
    <w:p>
      <w:pPr>
        <w:framePr w:w="2563" w:x="5655" w:y="2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山东省博兴县经济开发区</w:t>
      </w:r>
    </w:p>
    <w:p>
      <w:pPr>
        <w:framePr w:w="2563" w:x="1798" w:y="23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公司注册地址的邮政编码</w:t>
      </w:r>
    </w:p>
    <w:p>
      <w:pPr>
        <w:framePr w:w="2563" w:x="1798" w:y="2318"/>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公司办公地址</w:t>
      </w:r>
    </w:p>
    <w:p>
      <w:pPr>
        <w:framePr w:w="874" w:x="5655" w:y="23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256500</w:t>
      </w:r>
    </w:p>
    <w:p>
      <w:pPr>
        <w:framePr w:w="3936" w:x="5655" w:y="2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山东省博兴县经济开发区兴博一路</w:t>
      </w:r>
      <w:r>
        <w:rPr>
          <w:rFonts w:ascii="SimSun" w:eastAsiaTheme="minorEastAsia" w:hAnsiTheme="minorHAnsi" w:cstheme="minorBidi"/>
          <w:color w:val="000000"/>
          <w:sz w:val="21"/>
          <w:szCs w:val="22"/>
          <w:lang w:val="en-US" w:eastAsia="en-US" w:bidi="ar-SA"/>
        </w:rPr>
        <w:t>169</w:t>
      </w:r>
      <w:r>
        <w:rPr>
          <w:rFonts w:ascii="SimSun" w:hAnsi="SimSun" w:eastAsiaTheme="minorEastAsia" w:cs="SimSun"/>
          <w:color w:val="000000"/>
          <w:sz w:val="21"/>
          <w:szCs w:val="22"/>
          <w:lang w:val="en-US" w:eastAsia="en-US" w:bidi="ar-SA"/>
        </w:rPr>
        <w:t>号</w:t>
      </w:r>
    </w:p>
    <w:p>
      <w:pPr>
        <w:framePr w:w="2563" w:x="1798" w:y="29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公司办公地址的邮政编码</w:t>
      </w:r>
    </w:p>
    <w:p>
      <w:pPr>
        <w:framePr w:w="2563" w:x="1798" w:y="2925"/>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公司网址</w:t>
      </w:r>
    </w:p>
    <w:p>
      <w:pPr>
        <w:framePr w:w="874" w:x="5655" w:y="29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256500</w:t>
      </w:r>
    </w:p>
    <w:p>
      <w:pPr>
        <w:framePr w:w="1718" w:x="5655" w:y="32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www.cynda.cn</w:t>
      </w:r>
    </w:p>
    <w:p>
      <w:pPr>
        <w:framePr w:w="1718" w:x="5655" w:y="3228"/>
        <w:widowControl w:val="0"/>
        <w:autoSpaceDE w:val="0"/>
        <w:autoSpaceDN w:val="0"/>
        <w:spacing w:before="91"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cynda@cynda.cn</w:t>
      </w:r>
    </w:p>
    <w:p>
      <w:pPr>
        <w:framePr w:w="1718" w:x="5655" w:y="3228"/>
        <w:widowControl w:val="0"/>
        <w:autoSpaceDE w:val="0"/>
        <w:autoSpaceDN w:val="0"/>
        <w:spacing w:before="91"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085" w:x="1798" w:y="3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电子信箱</w:t>
      </w:r>
    </w:p>
    <w:p>
      <w:pPr>
        <w:framePr w:w="2774" w:x="1798" w:y="3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报告期内变更情况查询索引</w:t>
      </w:r>
    </w:p>
    <w:p>
      <w:pPr>
        <w:framePr w:w="3970" w:x="1798" w:y="4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信息披露及备置地点变更情况简介</w:t>
      </w:r>
    </w:p>
    <w:p>
      <w:pPr>
        <w:framePr w:w="3970" w:x="1798" w:y="4469"/>
        <w:widowControl w:val="0"/>
        <w:autoSpaceDE w:val="0"/>
        <w:autoSpaceDN w:val="0"/>
        <w:spacing w:before="26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公司选定的信息披露报纸名称</w:t>
      </w:r>
    </w:p>
    <w:p>
      <w:pPr>
        <w:framePr w:w="4675" w:x="6080" w:y="4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中国证券报、上海证券报、证券时报、证券日报</w:t>
      </w:r>
    </w:p>
    <w:p>
      <w:pPr>
        <w:framePr w:w="5996" w:x="1798" w:y="52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登载半年度报告的中国证监会指定网站的网址</w:t>
      </w:r>
      <w:r>
        <w:rPr>
          <w:rFonts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www.sse.com.cn</w:t>
      </w:r>
    </w:p>
    <w:p>
      <w:pPr>
        <w:framePr w:w="2774" w:x="1798" w:y="55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公司半年度报告备置地点</w:t>
      </w:r>
    </w:p>
    <w:p>
      <w:pPr>
        <w:framePr w:w="2774" w:x="1798" w:y="5554"/>
        <w:widowControl w:val="0"/>
        <w:autoSpaceDE w:val="0"/>
        <w:autoSpaceDN w:val="0"/>
        <w:spacing w:before="9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报告期内变更情况查询索引</w:t>
      </w:r>
    </w:p>
    <w:p>
      <w:pPr>
        <w:framePr w:w="1507" w:x="6080" w:y="55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董事会办公室</w:t>
      </w:r>
    </w:p>
    <w:p>
      <w:pPr>
        <w:framePr w:w="346" w:x="6080" w:y="58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074" w:x="1798" w:y="64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公司股票简况</w:t>
      </w:r>
    </w:p>
    <w:p>
      <w:pPr>
        <w:framePr w:w="1085" w:x="2237" w:y="69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股票种类</w:t>
      </w:r>
    </w:p>
    <w:p>
      <w:pPr>
        <w:framePr w:w="1836" w:x="3576" w:y="6970"/>
        <w:widowControl w:val="0"/>
        <w:autoSpaceDE w:val="0"/>
        <w:autoSpaceDN w:val="0"/>
        <w:spacing w:line="211" w:lineRule="exact"/>
        <w:ind w:left="1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股票上市交易所</w:t>
      </w:r>
    </w:p>
    <w:p>
      <w:pPr>
        <w:framePr w:w="1836" w:x="3576" w:y="6970"/>
        <w:widowControl w:val="0"/>
        <w:autoSpaceDE w:val="0"/>
        <w:autoSpaceDN w:val="0"/>
        <w:spacing w:before="9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上交所</w:t>
      </w:r>
    </w:p>
    <w:p>
      <w:pPr>
        <w:framePr w:w="1522" w:x="5353" w:y="6970"/>
        <w:widowControl w:val="0"/>
        <w:autoSpaceDE w:val="0"/>
        <w:autoSpaceDN w:val="0"/>
        <w:spacing w:line="211" w:lineRule="exact"/>
        <w:ind w:left="43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股票简称</w:t>
      </w:r>
    </w:p>
    <w:p>
      <w:pPr>
        <w:framePr w:w="1522" w:x="5353" w:y="6970"/>
        <w:widowControl w:val="0"/>
        <w:autoSpaceDE w:val="0"/>
        <w:autoSpaceDN w:val="0"/>
        <w:spacing w:before="9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先达股份</w:t>
      </w:r>
    </w:p>
    <w:p>
      <w:pPr>
        <w:framePr w:w="1522" w:x="7134" w:y="6970"/>
        <w:widowControl w:val="0"/>
        <w:autoSpaceDE w:val="0"/>
        <w:autoSpaceDN w:val="0"/>
        <w:spacing w:line="211" w:lineRule="exact"/>
        <w:ind w:left="43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股票代码</w:t>
      </w:r>
    </w:p>
    <w:p>
      <w:pPr>
        <w:framePr w:w="1522" w:x="7134" w:y="6970"/>
        <w:widowControl w:val="0"/>
        <w:autoSpaceDE w:val="0"/>
        <w:autoSpaceDN w:val="0"/>
        <w:spacing w:before="9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603086</w:t>
      </w:r>
    </w:p>
    <w:p>
      <w:pPr>
        <w:framePr w:w="1718" w:x="9035" w:y="69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变更前股票简称</w:t>
      </w:r>
    </w:p>
    <w:p>
      <w:pPr>
        <w:framePr w:w="557" w:x="1798" w:y="72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A</w:t>
      </w:r>
      <w:r>
        <w:rPr>
          <w:rFonts w:ascii="SimSun" w:hAnsi="SimSun" w:eastAsiaTheme="minorEastAsia" w:cs="SimSun"/>
          <w:color w:val="000000"/>
          <w:sz w:val="21"/>
          <w:szCs w:val="22"/>
          <w:lang w:val="en-US" w:eastAsia="en-US" w:bidi="ar-SA"/>
        </w:rPr>
        <w:t>股</w:t>
      </w:r>
    </w:p>
    <w:p>
      <w:pPr>
        <w:framePr w:w="346" w:x="8913" w:y="72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074" w:x="1798" w:y="7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其他有关资料</w:t>
      </w:r>
    </w:p>
    <w:p>
      <w:pPr>
        <w:framePr w:w="2074" w:x="1798" w:y="7908"/>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50" w:x="1798" w:y="89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eastAsiaTheme="minorEastAsia" w:hAnsiTheme="minorHAnsi" w:cstheme="minorBidi"/>
          <w:color w:val="000000"/>
          <w:spacing w:val="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公司主要会计数据和财务指标</w:t>
      </w:r>
    </w:p>
    <w:p>
      <w:pPr>
        <w:framePr w:w="1927" w:x="1798" w:y="943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主要会计数据</w:t>
      </w:r>
    </w:p>
    <w:p>
      <w:pPr>
        <w:framePr w:w="2554" w:x="8320" w:y="99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9920"/>
        <w:widowControl w:val="0"/>
        <w:autoSpaceDE w:val="0"/>
        <w:autoSpaceDN w:val="0"/>
        <w:spacing w:before="96" w:line="211" w:lineRule="exact"/>
        <w:ind w:left="96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本报告期比上</w:t>
      </w:r>
    </w:p>
    <w:p>
      <w:pPr>
        <w:framePr w:w="1085" w:x="5823" w:y="102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本报告期</w:t>
      </w:r>
    </w:p>
    <w:p>
      <w:pPr>
        <w:framePr w:w="1507" w:x="2864" w:y="103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主要会计数据</w:t>
      </w:r>
    </w:p>
    <w:p>
      <w:pPr>
        <w:framePr w:w="1085" w:x="7720" w:y="103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上年同期</w:t>
      </w:r>
    </w:p>
    <w:p>
      <w:pPr>
        <w:framePr w:w="1296" w:x="5718" w:y="10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pacing w:val="1"/>
          <w:sz w:val="21"/>
          <w:szCs w:val="22"/>
          <w:lang w:val="en-US" w:eastAsia="en-US" w:bidi="ar-SA"/>
        </w:rPr>
        <w:t>月）</w:t>
      </w:r>
    </w:p>
    <w:p>
      <w:pPr>
        <w:framePr w:w="1644" w:x="9230" w:y="105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年同期增减</w:t>
      </w:r>
      <w:r>
        <w:rPr>
          <w:rFonts w:ascii="SimSun" w:eastAsiaTheme="minorEastAsia" w:hAnsiTheme="minorHAnsi" w:cstheme="minorBidi"/>
          <w:color w:val="000000"/>
          <w:spacing w:val="1"/>
          <w:sz w:val="21"/>
          <w:szCs w:val="22"/>
          <w:lang w:val="en-US" w:eastAsia="en-US" w:bidi="ar-SA"/>
        </w:rPr>
        <w:t>(%)</w:t>
      </w:r>
    </w:p>
    <w:p>
      <w:pPr>
        <w:framePr w:w="1644" w:x="9230" w:y="10501"/>
        <w:widowControl w:val="0"/>
        <w:autoSpaceDE w:val="0"/>
        <w:autoSpaceDN w:val="0"/>
        <w:spacing w:before="96" w:line="211" w:lineRule="exact"/>
        <w:ind w:left="8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12.56</w:t>
      </w:r>
    </w:p>
    <w:p>
      <w:pPr>
        <w:framePr w:w="1085" w:x="1798" w:y="108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718" w:x="5612" w:y="108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965,510,072.01</w:t>
      </w:r>
    </w:p>
    <w:p>
      <w:pPr>
        <w:framePr w:w="1718" w:x="5612" w:y="10808"/>
        <w:widowControl w:val="0"/>
        <w:autoSpaceDE w:val="0"/>
        <w:autoSpaceDN w:val="0"/>
        <w:spacing w:before="8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p>
    <w:p>
      <w:pPr>
        <w:framePr w:w="1718" w:x="5612" w:y="10808"/>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105,745,687.21</w:t>
      </w:r>
    </w:p>
    <w:p>
      <w:pPr>
        <w:framePr w:w="1718" w:x="7509" w:y="108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857,775,015.42</w:t>
      </w:r>
    </w:p>
    <w:p>
      <w:pPr>
        <w:framePr w:w="3632" w:x="1798" w:y="11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归属于上市公司股东的净利润</w:t>
      </w:r>
    </w:p>
    <w:p>
      <w:pPr>
        <w:framePr w:w="3632" w:x="1798" w:y="11103"/>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归属于上市公司股东的扣除非经常性</w:t>
      </w:r>
    </w:p>
    <w:p>
      <w:pPr>
        <w:framePr w:w="3632" w:x="1798" w:y="1110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损益的净利润</w:t>
      </w:r>
    </w:p>
    <w:p>
      <w:pPr>
        <w:framePr w:w="1718" w:x="7509" w:y="111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127,105,343.83</w:t>
      </w:r>
    </w:p>
    <w:p>
      <w:pPr>
        <w:framePr w:w="1718" w:x="7509" w:y="11103"/>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127,187,708.75</w:t>
      </w:r>
    </w:p>
    <w:p>
      <w:pPr>
        <w:framePr w:w="874" w:x="10000" w:y="111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-24.59</w:t>
      </w:r>
    </w:p>
    <w:p>
      <w:pPr>
        <w:framePr w:w="874" w:x="10000" w:y="113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-16.86</w:t>
      </w:r>
    </w:p>
    <w:p>
      <w:pPr>
        <w:framePr w:w="2986" w:x="1798" w:y="11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1613" w:x="5718" w:y="119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46,228,827.78</w:t>
      </w:r>
    </w:p>
    <w:p>
      <w:pPr>
        <w:framePr w:w="1718" w:x="7509" w:y="119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102,932,206.59</w:t>
      </w:r>
    </w:p>
    <w:p>
      <w:pPr>
        <w:framePr w:w="1591" w:x="9283" w:y="11953"/>
        <w:widowControl w:val="0"/>
        <w:autoSpaceDE w:val="0"/>
        <w:autoSpaceDN w:val="0"/>
        <w:spacing w:line="211" w:lineRule="exact"/>
        <w:ind w:left="71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-55.09</w:t>
      </w:r>
    </w:p>
    <w:p>
      <w:pPr>
        <w:framePr w:w="1591" w:x="9283" w:y="11953"/>
        <w:widowControl w:val="0"/>
        <w:autoSpaceDE w:val="0"/>
        <w:autoSpaceDN w:val="0"/>
        <w:spacing w:before="8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本报告期末比</w:t>
      </w:r>
    </w:p>
    <w:p>
      <w:pPr>
        <w:framePr w:w="1591" w:x="9283" w:y="1195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上年度末增减</w:t>
      </w:r>
    </w:p>
    <w:p>
      <w:pPr>
        <w:framePr w:w="1591" w:x="9283" w:y="11953"/>
        <w:widowControl w:val="0"/>
        <w:autoSpaceDE w:val="0"/>
        <w:autoSpaceDN w:val="0"/>
        <w:spacing w:before="62" w:line="211" w:lineRule="exact"/>
        <w:ind w:left="47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1296" w:x="5718" w:y="12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本报告期末</w:t>
      </w:r>
    </w:p>
    <w:p>
      <w:pPr>
        <w:framePr w:w="1085" w:x="7720" w:y="12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上年度末</w:t>
      </w:r>
    </w:p>
    <w:p>
      <w:pPr>
        <w:framePr w:w="2986" w:x="1798" w:y="130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归属于上市公司股东的净资产</w:t>
      </w:r>
    </w:p>
    <w:p>
      <w:pPr>
        <w:framePr w:w="2986" w:x="1798" w:y="13074"/>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总资产</w:t>
      </w:r>
    </w:p>
    <w:p>
      <w:pPr>
        <w:framePr w:w="3819" w:x="5403" w:y="130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1,623,890,686.62</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p>
    <w:p>
      <w:pPr>
        <w:framePr w:w="3819" w:x="5403" w:y="13074"/>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2,366,699,695.42</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p>
    <w:p>
      <w:pPr>
        <w:framePr w:w="662" w:x="10212" w:y="130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4.28</w:t>
      </w:r>
    </w:p>
    <w:p>
      <w:pPr>
        <w:framePr w:w="662" w:x="10212" w:y="13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2.71</w:t>
      </w:r>
    </w:p>
    <w:p>
      <w:pPr>
        <w:framePr w:w="2138" w:x="1798" w:y="139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主要财务指标</w:t>
      </w:r>
    </w:p>
    <w:p>
      <w:pPr>
        <w:framePr w:w="1085" w:x="6695" w:y="14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本报告期</w:t>
      </w:r>
    </w:p>
    <w:p>
      <w:pPr>
        <w:framePr w:w="1793" w:x="9213" w:y="14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本报告期比上年</w:t>
      </w:r>
    </w:p>
    <w:p>
      <w:pPr>
        <w:framePr w:w="1793" w:x="9213" w:y="14476"/>
        <w:widowControl w:val="0"/>
        <w:autoSpaceDE w:val="0"/>
        <w:autoSpaceDN w:val="0"/>
        <w:spacing w:before="62" w:line="211" w:lineRule="exact"/>
        <w:ind w:left="158"/>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同期增减</w:t>
      </w:r>
      <w:r>
        <w:rPr>
          <w:rFonts w:ascii="SimSun" w:eastAsiaTheme="minorEastAsia" w:hAnsiTheme="minorHAnsi" w:cstheme="minorBidi"/>
          <w:color w:val="000000"/>
          <w:spacing w:val="-1"/>
          <w:sz w:val="21"/>
          <w:szCs w:val="22"/>
          <w:lang w:val="en-US" w:eastAsia="en-US" w:bidi="ar-SA"/>
        </w:rPr>
        <w:t>(%)</w:t>
      </w:r>
    </w:p>
    <w:p>
      <w:pPr>
        <w:framePr w:w="1793" w:x="9213" w:y="14476"/>
        <w:widowControl w:val="0"/>
        <w:autoSpaceDE w:val="0"/>
        <w:autoSpaceDN w:val="0"/>
        <w:spacing w:before="70" w:line="211" w:lineRule="exact"/>
        <w:ind w:left="91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-24.69</w:t>
      </w:r>
    </w:p>
    <w:p>
      <w:pPr>
        <w:framePr w:w="1507" w:x="3291" w:y="14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主要财务指标</w:t>
      </w:r>
    </w:p>
    <w:p>
      <w:pPr>
        <w:framePr w:w="1085" w:x="8041" w:y="14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上年同期</w:t>
      </w:r>
    </w:p>
    <w:p>
      <w:pPr>
        <w:framePr w:w="1440" w:x="6589" w:y="147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pacing w:val="1"/>
          <w:sz w:val="21"/>
          <w:szCs w:val="22"/>
          <w:lang w:val="en-US" w:eastAsia="en-US" w:bidi="ar-SA"/>
        </w:rPr>
        <w:t>月）</w:t>
      </w:r>
    </w:p>
    <w:p>
      <w:pPr>
        <w:framePr w:w="1440" w:x="6589" w:y="14749"/>
        <w:widowControl w:val="0"/>
        <w:autoSpaceDE w:val="0"/>
        <w:autoSpaceDN w:val="0"/>
        <w:spacing w:before="70" w:line="211" w:lineRule="exact"/>
        <w:ind w:left="77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0.61</w:t>
      </w:r>
    </w:p>
    <w:p>
      <w:pPr>
        <w:framePr w:w="2563" w:x="1620" w:y="150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基本每股收益（元／股）</w:t>
      </w:r>
    </w:p>
    <w:p>
      <w:pPr>
        <w:framePr w:w="662" w:x="8500" w:y="150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0.81</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33" type="#_x0000_t75" style="width:445.6pt;height:2.7pt;margin-top:53.3pt;margin-left:87.45pt;mso-position-horizontal-relative:page;mso-position-vertical-relative:page;position:absolute;z-index:-251301888">
            <v:imagedata r:id="rId11" o:title=""/>
          </v:shape>
        </w:pict>
      </w:r>
      <w:r>
        <w:rPr>
          <w:noProof/>
        </w:rPr>
        <w:pict>
          <v:shape id="_x0000_s1034" type="#_x0000_t75" style="width:447.3pt;height:108.55pt;margin-top:97.8pt;margin-left:87.1pt;mso-position-horizontal-relative:page;mso-position-vertical-relative:page;position:absolute;z-index:-251309056">
            <v:imagedata r:id="rId12" o:title=""/>
          </v:shape>
        </w:pict>
      </w:r>
      <w:r>
        <w:rPr>
          <w:noProof/>
        </w:rPr>
        <w:pict>
          <v:shape id="_x0000_s1035" type="#_x0000_t75" style="width:447.3pt;height:63.1pt;margin-top:244.35pt;margin-left:87.1pt;mso-position-horizontal-relative:page;mso-position-vertical-relative:page;position:absolute;z-index:-251339776">
            <v:imagedata r:id="rId13" o:title=""/>
          </v:shape>
        </w:pict>
      </w:r>
      <w:r>
        <w:rPr>
          <w:noProof/>
        </w:rPr>
        <w:pict>
          <v:shape id="_x0000_s1036" type="#_x0000_t75" style="width:447.3pt;height:32.85pt;margin-top:345.55pt;margin-left:87.1pt;mso-position-horizontal-relative:page;mso-position-vertical-relative:page;position:absolute;z-index:-251402240">
            <v:imagedata r:id="rId14" o:title=""/>
          </v:shape>
        </w:pict>
      </w:r>
      <w:r>
        <w:rPr>
          <w:noProof/>
        </w:rPr>
        <w:pict>
          <v:shape id="_x0000_s1037" type="#_x0000_t75" style="width:454.95pt;height:175.65pt;margin-top:507.05pt;margin-left:83.25pt;mso-position-horizontal-relative:page;mso-position-vertical-relative:page;position:absolute;z-index:-251505664">
            <v:imagedata r:id="rId15" o:title=""/>
          </v:shape>
        </w:pict>
      </w:r>
      <w:r>
        <w:rPr>
          <w:noProof/>
        </w:rPr>
        <w:pict>
          <v:shape id="_x0000_s1038" type="#_x0000_t75" style="width:470.3pt;height:44.35pt;margin-top:720.8pt;margin-left:74.5pt;mso-position-horizontal-relative:page;mso-position-vertical-relative:page;position:absolute;z-index:-251654144">
            <v:imagedata r:id="rId16" o:title=""/>
          </v:shape>
        </w:pict>
      </w:r>
    </w:p>
    <w:p>
      <w:pPr>
        <w:spacing w:line="0" w:lineRule="atLeast"/>
        <w:rPr>
          <w:rFonts w:ascii="Arial" w:eastAsiaTheme="minorEastAsia" w:hAnsiTheme="minorHAnsi" w:cstheme="minorBidi"/>
          <w:color w:val="FF0000"/>
          <w:sz w:val="2"/>
          <w:szCs w:val="22"/>
          <w:lang w:val="en-US" w:eastAsia="en-US" w:bidi="ar-SA"/>
        </w:rPr>
      </w:pPr>
      <w:bookmarkStart w:id="5" w:name="br1_4"/>
      <w:bookmarkEnd w:id="5"/>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563" w:x="1620"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稀释每股收益（元／股）</w:t>
      </w:r>
    </w:p>
    <w:p>
      <w:pPr>
        <w:framePr w:w="662" w:x="736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0.61</w:t>
      </w:r>
    </w:p>
    <w:p>
      <w:pPr>
        <w:framePr w:w="662" w:x="7367"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0.67</w:t>
      </w:r>
    </w:p>
    <w:p>
      <w:pPr>
        <w:framePr w:w="662" w:x="7367"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6.04</w:t>
      </w:r>
    </w:p>
    <w:p>
      <w:pPr>
        <w:framePr w:w="662" w:x="850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0.81</w:t>
      </w:r>
    </w:p>
    <w:p>
      <w:pPr>
        <w:framePr w:w="662" w:x="8500"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0.81</w:t>
      </w:r>
    </w:p>
    <w:p>
      <w:pPr>
        <w:framePr w:w="662" w:x="8500"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8.95</w:t>
      </w:r>
    </w:p>
    <w:p>
      <w:pPr>
        <w:framePr w:w="874" w:x="1013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-24.69</w:t>
      </w:r>
    </w:p>
    <w:p>
      <w:pPr>
        <w:framePr w:w="874" w:x="10132"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-17.28</w:t>
      </w:r>
    </w:p>
    <w:p>
      <w:pPr>
        <w:framePr w:w="4675" w:x="1620"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扣除非经常性损益后的基本每股收益（元／股）</w:t>
      </w:r>
    </w:p>
    <w:p>
      <w:pPr>
        <w:framePr w:w="2880" w:x="1620"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加权平均净资产收益率（</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718" w:x="9292"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ascii="SimSun" w:eastAsiaTheme="minorEastAsia" w:hAnsiTheme="minorHAnsi" w:cstheme="minorBidi"/>
          <w:color w:val="000000"/>
          <w:sz w:val="21"/>
          <w:szCs w:val="22"/>
          <w:lang w:val="en-US" w:eastAsia="en-US" w:bidi="ar-SA"/>
        </w:rPr>
        <w:t>2.91</w:t>
      </w:r>
      <w:r>
        <w:rPr>
          <w:rFonts w:ascii="SimSun" w:hAnsi="SimSun" w:eastAsiaTheme="minorEastAsia" w:cs="SimSun"/>
          <w:color w:val="000000"/>
          <w:sz w:val="21"/>
          <w:szCs w:val="22"/>
          <w:lang w:val="en-US" w:eastAsia="en-US" w:bidi="ar-SA"/>
        </w:rPr>
        <w:t>个百分</w:t>
      </w:r>
    </w:p>
    <w:p>
      <w:pPr>
        <w:framePr w:w="1718" w:x="9292" w:y="2112"/>
        <w:widowControl w:val="0"/>
        <w:autoSpaceDE w:val="0"/>
        <w:autoSpaceDN w:val="0"/>
        <w:spacing w:before="60" w:line="211" w:lineRule="exact"/>
        <w:ind w:left="126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点</w:t>
      </w:r>
    </w:p>
    <w:p>
      <w:pPr>
        <w:framePr w:w="4846" w:x="1620" w:y="26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扣除非经常性损益后的加权平均净资产收益率（</w:t>
      </w:r>
      <w:r>
        <w:rPr>
          <w:rFonts w:ascii="SimSun" w:eastAsiaTheme="minorEastAsia" w:hAnsiTheme="minorHAnsi" w:cstheme="minorBidi"/>
          <w:color w:val="000000"/>
          <w:sz w:val="21"/>
          <w:szCs w:val="22"/>
          <w:lang w:val="en-US" w:eastAsia="en-US" w:bidi="ar-SA"/>
        </w:rPr>
        <w:t>%</w:t>
      </w:r>
    </w:p>
    <w:p>
      <w:pPr>
        <w:framePr w:w="662" w:x="7367" w:y="26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6.66</w:t>
      </w:r>
    </w:p>
    <w:p>
      <w:pPr>
        <w:framePr w:w="662" w:x="8500" w:y="26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8.95</w:t>
      </w:r>
    </w:p>
    <w:p>
      <w:pPr>
        <w:framePr w:w="1718" w:x="9292" w:y="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r>
        <w:rPr>
          <w:rFonts w:ascii="SimSun" w:eastAsiaTheme="minorEastAsia" w:hAnsiTheme="minorHAnsi" w:cstheme="minorBidi"/>
          <w:color w:val="000000"/>
          <w:sz w:val="21"/>
          <w:szCs w:val="22"/>
          <w:lang w:val="en-US" w:eastAsia="en-US" w:bidi="ar-SA"/>
        </w:rPr>
        <w:t>2.29</w:t>
      </w:r>
      <w:r>
        <w:rPr>
          <w:rFonts w:ascii="SimSun" w:hAnsi="SimSun" w:eastAsiaTheme="minorEastAsia" w:cs="SimSun"/>
          <w:color w:val="000000"/>
          <w:sz w:val="21"/>
          <w:szCs w:val="22"/>
          <w:lang w:val="en-US" w:eastAsia="en-US" w:bidi="ar-SA"/>
        </w:rPr>
        <w:t>个百分</w:t>
      </w:r>
    </w:p>
    <w:p>
      <w:pPr>
        <w:framePr w:w="1718" w:x="9292" w:y="2666"/>
        <w:widowControl w:val="0"/>
        <w:autoSpaceDE w:val="0"/>
        <w:autoSpaceDN w:val="0"/>
        <w:spacing w:before="60" w:line="211" w:lineRule="exact"/>
        <w:ind w:left="126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点</w:t>
      </w:r>
    </w:p>
    <w:p>
      <w:pPr>
        <w:framePr w:w="451" w:x="1620" w:y="2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w:t>
      </w:r>
    </w:p>
    <w:p>
      <w:pPr>
        <w:framePr w:w="3619" w:x="1798" w:y="34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公司主要会计数据和财务指标的说明</w:t>
      </w:r>
    </w:p>
    <w:p>
      <w:pPr>
        <w:framePr w:w="3619" w:x="1798" w:y="34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42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日，公司召开</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年年度股东大会，审议通过了《关于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年度利润分配</w:t>
      </w:r>
    </w:p>
    <w:p>
      <w:pPr>
        <w:framePr w:w="9078" w:x="1798" w:y="42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及资本公积金转增股本预案的议案》，同意以截至</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112,000,000</w:t>
      </w:r>
      <w:r>
        <w:rPr>
          <w:rFonts w:ascii="SimSun" w:hAnsi="SimSun" w:eastAsiaTheme="minorEastAsia" w:cs="SimSun"/>
          <w:color w:val="000000"/>
          <w:sz w:val="21"/>
          <w:szCs w:val="22"/>
          <w:lang w:val="en-US" w:eastAsia="en-US" w:bidi="ar-SA"/>
        </w:rPr>
        <w:t>股为基</w:t>
      </w:r>
    </w:p>
    <w:p>
      <w:pPr>
        <w:framePr w:w="9078" w:x="1798" w:y="4293"/>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数，向全体股东每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股派现金股利</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r>
        <w:rPr>
          <w:rFonts w:ascii="SimSun" w:hAnsi="SimSun" w:eastAsiaTheme="minorEastAsia" w:cs="SimSun"/>
          <w:color w:val="000000"/>
          <w:sz w:val="21"/>
          <w:szCs w:val="22"/>
          <w:lang w:val="en-US" w:eastAsia="en-US" w:bidi="ar-SA"/>
        </w:rPr>
        <w:t>元人民币（含税），同时以资本公积转增股本方式向全</w:t>
      </w:r>
    </w:p>
    <w:p>
      <w:pPr>
        <w:framePr w:w="9078" w:x="1798" w:y="42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44,800,000</w:t>
      </w:r>
      <w:r>
        <w:rPr>
          <w:rFonts w:ascii="SimSun" w:hAnsi="SimSun" w:eastAsiaTheme="minorEastAsia" w:cs="SimSun"/>
          <w:color w:val="000000"/>
          <w:sz w:val="21"/>
          <w:szCs w:val="22"/>
          <w:lang w:val="en-US" w:eastAsia="en-US" w:bidi="ar-SA"/>
        </w:rPr>
        <w:t>股，转增后公司总股本为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156,800,000</w:t>
      </w:r>
      <w:r>
        <w:rPr>
          <w:rFonts w:ascii="SimSun" w:hAnsi="SimSun" w:eastAsiaTheme="minorEastAsia" w:cs="SimSun"/>
          <w:color w:val="000000"/>
          <w:spacing w:val="-1"/>
          <w:sz w:val="21"/>
          <w:szCs w:val="22"/>
          <w:lang w:val="en-US" w:eastAsia="en-US" w:bidi="ar-SA"/>
        </w:rPr>
        <w:t>股。</w:t>
      </w:r>
    </w:p>
    <w:p>
      <w:pPr>
        <w:framePr w:w="9078" w:x="1798" w:y="60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根据《企业会计准则第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34</w:t>
      </w:r>
      <w:r>
        <w:rPr>
          <w:rFonts w:ascii="SimSun" w:hAnsi="SimSun" w:eastAsiaTheme="minorEastAsia" w:cs="SimSun"/>
          <w:color w:val="000000"/>
          <w:spacing w:val="-2"/>
          <w:sz w:val="21"/>
          <w:szCs w:val="22"/>
          <w:lang w:val="en-US" w:eastAsia="en-US" w:bidi="ar-SA"/>
        </w:rPr>
        <w:t>号—每股收益》有关规定，在实施资本公积转增股本后，为保持会</w:t>
      </w:r>
    </w:p>
    <w:p>
      <w:pPr>
        <w:framePr w:w="9078" w:x="1798" w:y="60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计指标的前后可比性，公司以调整后的总股数对</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z w:val="21"/>
          <w:szCs w:val="22"/>
          <w:lang w:val="en-US" w:eastAsia="en-US" w:bidi="ar-SA"/>
        </w:rPr>
        <w:t>年半年度的每股收益进行了重新计算。</w:t>
      </w:r>
    </w:p>
    <w:p>
      <w:pPr>
        <w:framePr w:w="3758" w:x="1798" w:y="73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境内外会计准则下会计数据差异</w:t>
      </w:r>
    </w:p>
    <w:p>
      <w:pPr>
        <w:framePr w:w="3758" w:x="1798" w:y="731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27" w:x="1798" w:y="82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非经常性损益项目和金额</w:t>
      </w:r>
    </w:p>
    <w:p>
      <w:pPr>
        <w:framePr w:w="1817" w:x="1798" w:y="8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8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3295" w:x="1798" w:y="9142"/>
        <w:widowControl w:val="0"/>
        <w:autoSpaceDE w:val="0"/>
        <w:autoSpaceDN w:val="0"/>
        <w:spacing w:line="211" w:lineRule="exact"/>
        <w:ind w:left="137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非经常性损益项目</w:t>
      </w:r>
    </w:p>
    <w:p>
      <w:pPr>
        <w:framePr w:w="3295" w:x="1798" w:y="914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非流动资产处置损益</w:t>
      </w:r>
    </w:p>
    <w:p>
      <w:pPr>
        <w:framePr w:w="662" w:x="7117" w:y="9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718" w:x="8793" w:y="9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附注（如适用）</w:t>
      </w:r>
    </w:p>
    <w:p>
      <w:pPr>
        <w:framePr w:w="1613" w:x="6846" w:y="9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-1,116,000.09</w:t>
      </w:r>
    </w:p>
    <w:p>
      <w:pPr>
        <w:framePr w:w="4675" w:x="1798" w:y="97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越权审批，或无正式批准文件，或偶发性的税收</w:t>
      </w:r>
    </w:p>
    <w:p>
      <w:pPr>
        <w:framePr w:w="4675" w:x="1798" w:y="970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返还、减免</w:t>
      </w:r>
    </w:p>
    <w:p>
      <w:pPr>
        <w:framePr w:w="4675" w:x="1798" w:y="10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计入当期损益的政府补助，但与公司正常经营业</w:t>
      </w:r>
    </w:p>
    <w:p>
      <w:pPr>
        <w:framePr w:w="4675" w:x="1798" w:y="102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务密切相关，符合国家政策规定、按照一定标准</w:t>
      </w:r>
    </w:p>
    <w:p>
      <w:pPr>
        <w:framePr w:w="4675" w:x="1798" w:y="1026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定额或定量持续享受的政府补助除外</w:t>
      </w:r>
    </w:p>
    <w:p>
      <w:pPr>
        <w:framePr w:w="4675" w:x="1798" w:y="102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计入当期损益的对非金融企业收取的资金占用费</w:t>
      </w:r>
    </w:p>
    <w:p>
      <w:pPr>
        <w:framePr w:w="4675" w:x="1798" w:y="102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企业取得子公司、联营企业及合营企业的投资成</w:t>
      </w:r>
    </w:p>
    <w:p>
      <w:pPr>
        <w:framePr w:w="4675" w:x="1798" w:y="1026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本小于取得投资时应享有被投资单位可辨认净资</w:t>
      </w:r>
    </w:p>
    <w:p>
      <w:pPr>
        <w:framePr w:w="4675" w:x="1798" w:y="102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产公允价值产生的收益</w:t>
      </w:r>
    </w:p>
    <w:p>
      <w:pPr>
        <w:framePr w:w="1507" w:x="6952" w:y="102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1,979,331.29</w:t>
      </w:r>
    </w:p>
    <w:p>
      <w:pPr>
        <w:framePr w:w="2352" w:x="1798" w:y="121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非货币性资产交换损益</w:t>
      </w:r>
    </w:p>
    <w:p>
      <w:pPr>
        <w:framePr w:w="4675" w:x="1798" w:y="124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委托他人投资或管理资产的损益</w:t>
      </w:r>
    </w:p>
    <w:p>
      <w:pPr>
        <w:framePr w:w="4675" w:x="1798" w:y="1248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因不可抗力因素，如遭受自然灾害而计提的各项</w:t>
      </w:r>
    </w:p>
    <w:p>
      <w:pPr>
        <w:framePr w:w="4675" w:x="1798" w:y="1248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资产减值准备</w:t>
      </w:r>
    </w:p>
    <w:p>
      <w:pPr>
        <w:framePr w:w="1507" w:x="6952" w:y="124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4,178,652.09</w:t>
      </w:r>
    </w:p>
    <w:p>
      <w:pPr>
        <w:framePr w:w="1507" w:x="1798" w:y="133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债务重组损益</w:t>
      </w:r>
    </w:p>
    <w:p>
      <w:pPr>
        <w:framePr w:w="4675" w:x="1798" w:y="13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企业重组费用，如安置职工的支出、整合费用等</w:t>
      </w:r>
    </w:p>
    <w:p>
      <w:pPr>
        <w:framePr w:w="4675" w:x="1798" w:y="1360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交易价格显失公允的交易产生的超过公允价值部</w:t>
      </w:r>
    </w:p>
    <w:p>
      <w:pPr>
        <w:framePr w:w="4675" w:x="1798" w:y="1360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分的损益</w:t>
      </w:r>
    </w:p>
    <w:p>
      <w:pPr>
        <w:framePr w:w="4675" w:x="1798" w:y="14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同一控制下企业合并产生的子公司期初至合并日</w:t>
      </w:r>
    </w:p>
    <w:p>
      <w:pPr>
        <w:framePr w:w="4675" w:x="1798" w:y="1443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的当期净损益</w:t>
      </w:r>
    </w:p>
    <w:p>
      <w:pPr>
        <w:framePr w:w="4675" w:x="1798" w:y="149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与公司正常经营业务无关的或有事项产生的损益</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39" type="#_x0000_t75" style="width:445.6pt;height:2.7pt;margin-top:53.3pt;margin-left:87.45pt;mso-position-horizontal-relative:page;mso-position-vertical-relative:page;position:absolute;z-index:-251401216">
            <v:imagedata r:id="rId17" o:title=""/>
          </v:shape>
        </w:pict>
      </w:r>
      <w:r>
        <w:rPr>
          <w:noProof/>
        </w:rPr>
        <w:pict>
          <v:shape id="_x0000_s1040" type="#_x0000_t75" style="width:470.3pt;height:86.25pt;margin-top:74.3pt;margin-left:74.5pt;mso-position-horizontal-relative:page;mso-position-vertical-relative:page;position:absolute;z-index:-251504640">
            <v:imagedata r:id="rId18" o:title=""/>
          </v:shape>
        </w:pict>
      </w:r>
      <w:r>
        <w:rPr>
          <w:noProof/>
        </w:rPr>
        <w:pict>
          <v:shape id="_x0000_s1041" type="#_x0000_t75" style="width:454.95pt;height:309.1pt;margin-top:454.15pt;margin-left:83.25pt;mso-position-horizontal-relative:page;mso-position-vertical-relative:page;position:absolute;z-index:-251653120">
            <v:imagedata r:id="rId19" o:title=""/>
          </v:shape>
        </w:pict>
      </w:r>
    </w:p>
    <w:p>
      <w:pPr>
        <w:spacing w:line="0" w:lineRule="atLeast"/>
        <w:rPr>
          <w:rFonts w:ascii="Arial" w:eastAsiaTheme="minorEastAsia" w:hAnsiTheme="minorHAnsi" w:cstheme="minorBidi"/>
          <w:color w:val="FF0000"/>
          <w:sz w:val="2"/>
          <w:szCs w:val="22"/>
          <w:lang w:val="en-US" w:eastAsia="en-US" w:bidi="ar-SA"/>
        </w:rPr>
      </w:pPr>
      <w:bookmarkStart w:id="6" w:name="br1_5"/>
      <w:bookmarkEnd w:id="6"/>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675"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除同公司正常经营业务相关的有效套期保值业务</w:t>
      </w:r>
    </w:p>
    <w:p>
      <w:pPr>
        <w:framePr w:w="1613" w:x="684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-3,614,017.08</w:t>
      </w:r>
    </w:p>
    <w:p>
      <w:pPr>
        <w:framePr w:w="4886" w:x="1798"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外，持有交易性金融资产、衍生金融资产、交易</w:t>
      </w:r>
    </w:p>
    <w:p>
      <w:pPr>
        <w:framePr w:w="4886" w:x="1798" w:y="181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性金融负债、衍生金融负债产生的公允价值变动</w:t>
      </w:r>
    </w:p>
    <w:p>
      <w:pPr>
        <w:framePr w:w="4886" w:x="1798" w:y="181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损益，以及处置交易性金融资产、衍生金融资产、</w:t>
      </w:r>
    </w:p>
    <w:p>
      <w:pPr>
        <w:framePr w:w="4886" w:x="1798" w:y="181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交易性金融负债、衍生金融负债和其他债权投资</w:t>
      </w:r>
    </w:p>
    <w:p>
      <w:pPr>
        <w:framePr w:w="4886" w:x="1798" w:y="181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取得的投资收益</w:t>
      </w:r>
    </w:p>
    <w:p>
      <w:pPr>
        <w:framePr w:w="4675" w:x="1798" w:y="31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单独进行减值测试的应收款项、合同资产减值准</w:t>
      </w:r>
    </w:p>
    <w:p>
      <w:pPr>
        <w:framePr w:w="4675" w:x="1798" w:y="319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备转回</w:t>
      </w:r>
    </w:p>
    <w:p>
      <w:pPr>
        <w:framePr w:w="2563" w:x="1798" w:y="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对外委托贷款取得的损益</w:t>
      </w:r>
    </w:p>
    <w:p>
      <w:pPr>
        <w:framePr w:w="4675" w:x="1798" w:y="4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采用公允价值模式进行后续计量的投资性房地产</w:t>
      </w:r>
    </w:p>
    <w:p>
      <w:pPr>
        <w:framePr w:w="4675" w:x="1798" w:y="40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公允价值变动产生的损益</w:t>
      </w:r>
    </w:p>
    <w:p>
      <w:pPr>
        <w:framePr w:w="4675" w:x="1798" w:y="45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根据税收、会计等法律、法规的要求对当期损益</w:t>
      </w:r>
    </w:p>
    <w:p>
      <w:pPr>
        <w:framePr w:w="4675" w:x="1798" w:y="458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进行一次性调整对当期损益的影响</w:t>
      </w:r>
    </w:p>
    <w:p>
      <w:pPr>
        <w:framePr w:w="4675" w:x="1798" w:y="4581"/>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受托经营取得的托管费收入</w:t>
      </w:r>
    </w:p>
    <w:p>
      <w:pPr>
        <w:framePr w:w="4042" w:x="1798" w:y="54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除上述各项之外的其他营业外收入和支出</w:t>
      </w:r>
    </w:p>
    <w:p>
      <w:pPr>
        <w:framePr w:w="4042" w:x="1798" w:y="54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其他符合非经常性损益定义的损益项目</w:t>
      </w:r>
    </w:p>
    <w:p>
      <w:pPr>
        <w:framePr w:w="4042" w:x="1798" w:y="54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少数股东权益影响额</w:t>
      </w:r>
    </w:p>
    <w:p>
      <w:pPr>
        <w:framePr w:w="1718" w:x="6741" w:y="54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-14,638,024.72</w:t>
      </w:r>
    </w:p>
    <w:p>
      <w:pPr>
        <w:framePr w:w="1718" w:x="6741" w:y="5419"/>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2,559.03</w:t>
      </w:r>
    </w:p>
    <w:p>
      <w:pPr>
        <w:framePr w:w="1507" w:x="1798" w:y="62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所得税影响额</w:t>
      </w:r>
    </w:p>
    <w:p>
      <w:pPr>
        <w:framePr w:w="1613" w:x="6846" w:y="626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3,316,902.74</w:t>
      </w:r>
    </w:p>
    <w:p>
      <w:pPr>
        <w:framePr w:w="1613" w:x="6846" w:y="626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-9,890,596.74</w:t>
      </w:r>
    </w:p>
    <w:p>
      <w:pPr>
        <w:framePr w:w="662" w:x="1798" w:y="65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29" w:x="1798" w:y="71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w:t>
      </w:r>
      <w:r>
        <w:rPr>
          <w:rFonts w:eastAsiaTheme="minorEastAsia" w:hAnsiTheme="minorHAnsi" w:cstheme="minorBidi"/>
          <w:color w:val="000000"/>
          <w:spacing w:val="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74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78" w:x="4844" w:y="8108"/>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第三节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公司业务概要</w:t>
      </w:r>
    </w:p>
    <w:p>
      <w:pPr>
        <w:framePr w:w="6154" w:x="1798" w:y="8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一、报告期内公司所从事的主要业务、经营模式及行业情况说明</w:t>
      </w:r>
    </w:p>
    <w:p>
      <w:pPr>
        <w:framePr w:w="6154" w:x="1798" w:y="8705"/>
        <w:widowControl w:val="0"/>
        <w:autoSpaceDE w:val="0"/>
        <w:autoSpaceDN w:val="0"/>
        <w:spacing w:before="12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（一）主要业务</w:t>
      </w:r>
    </w:p>
    <w:p>
      <w:pPr>
        <w:framePr w:w="9110" w:x="1798" w:y="944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公司主要从事安全、高效、低毒、环境友好型农药原药及制剂、中间体的研发、生产和销售。</w:t>
      </w:r>
    </w:p>
    <w:p>
      <w:pPr>
        <w:framePr w:w="9110" w:x="1798" w:y="94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公司主要产品除草剂、杀菌剂、中间体，除草剂主要有环己烯酮类、咪唑啉酮类、异噁草松类产</w:t>
      </w:r>
    </w:p>
    <w:p>
      <w:pPr>
        <w:framePr w:w="9110" w:x="1798" w:y="94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品等，杀菌剂为烯酰吗啉类。本公司秉承“专业化、精细化”的经营理念，一直深耕主业，自公</w:t>
      </w:r>
    </w:p>
    <w:p>
      <w:pPr>
        <w:framePr w:w="9110" w:x="1798" w:y="944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司成立以来，主营业务未发生变化。</w:t>
      </w:r>
    </w:p>
    <w:p>
      <w:pPr>
        <w:framePr w:w="1718" w:x="2218" w:y="11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（二）经营模式</w:t>
      </w:r>
    </w:p>
    <w:p>
      <w:pPr>
        <w:framePr w:w="9068" w:x="1798" w:y="114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公司经过多年的经营发展，现已建立完整的研发、采购、生产、质量检测、市场推广和销售</w:t>
      </w:r>
    </w:p>
    <w:p>
      <w:pPr>
        <w:framePr w:w="9068" w:x="1798" w:y="114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体系，各体系相互协作，保证了公司稳定、持续、健康发展。</w:t>
      </w:r>
    </w:p>
    <w:p>
      <w:pPr>
        <w:framePr w:w="1402" w:x="2218" w:y="12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、研发模式</w:t>
      </w:r>
    </w:p>
    <w:p>
      <w:pPr>
        <w:framePr w:w="9068" w:x="1798" w:y="127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公司设有研究院，并拥有一套完整的项目管理激励体系，为公司新产品的研发和现有产品的</w:t>
      </w:r>
    </w:p>
    <w:p>
      <w:pPr>
        <w:framePr w:w="9068" w:x="1798" w:y="127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优化升级提供保障。</w:t>
      </w:r>
      <w:r>
        <w:rPr>
          <w:rFonts w:ascii="SimSun" w:eastAsiaTheme="minorEastAsia" w:hAnsiTheme="minorHAnsi" w:cstheme="minorBidi"/>
          <w:color w:val="000000"/>
          <w:sz w:val="21"/>
          <w:szCs w:val="22"/>
          <w:lang w:val="en-US" w:eastAsia="en-US" w:bidi="ar-SA"/>
        </w:rPr>
        <w:t>2015</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月，与南开大学农药工程研究中心、华中师范大学联合组建先达</w:t>
      </w:r>
    </w:p>
    <w:p>
      <w:pPr>
        <w:framePr w:w="9068" w:x="1798" w:y="127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农化产业创新研究院，进行创制化合物的合作研究，进一步提升公司技术创新能力。</w:t>
      </w:r>
    </w:p>
    <w:p>
      <w:pPr>
        <w:framePr w:w="9068" w:x="1798" w:y="1271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、采购模式</w:t>
      </w:r>
    </w:p>
    <w:p>
      <w:pPr>
        <w:framePr w:w="9078" w:x="1798" w:y="143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本公司原辅材料采购主要由采购管理中心负责，按照审批后的《物资采购计划单》实施采购，</w:t>
      </w:r>
    </w:p>
    <w:p>
      <w:pPr>
        <w:framePr w:w="9078" w:x="1798" w:y="143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所有采购的原料须经品质保障部检验合格后办理入库，公司仓库班负责原材料的出入库手续。</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2" type="#_x0000_t75" style="width:445.6pt;height:2.7pt;margin-top:53.3pt;margin-left:87.45pt;mso-position-horizontal-relative:page;mso-position-vertical-relative:page;position:absolute;z-index:-251503616">
            <v:imagedata r:id="rId20" o:title=""/>
          </v:shape>
        </w:pict>
      </w:r>
      <w:r>
        <w:rPr>
          <w:noProof/>
        </w:rPr>
        <w:pict>
          <v:shape id="_x0000_s1043" type="#_x0000_t75" style="width:454.95pt;height:266.75pt;margin-top:74.3pt;margin-left:83.25pt;mso-position-horizontal-relative:page;mso-position-vertical-relative:page;position:absolute;z-index:-251652096">
            <v:imagedata r:id="rId21" o:title=""/>
          </v:shape>
        </w:pict>
      </w:r>
    </w:p>
    <w:p>
      <w:pPr>
        <w:spacing w:line="0" w:lineRule="atLeast"/>
        <w:rPr>
          <w:rFonts w:ascii="Arial" w:eastAsiaTheme="minorEastAsia" w:hAnsiTheme="minorHAnsi" w:cstheme="minorBidi"/>
          <w:color w:val="FF0000"/>
          <w:sz w:val="2"/>
          <w:szCs w:val="22"/>
          <w:lang w:val="en-US" w:eastAsia="en-US" w:bidi="ar-SA"/>
        </w:rPr>
      </w:pPr>
      <w:bookmarkStart w:id="7" w:name="br1_6"/>
      <w:bookmarkEnd w:id="7"/>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533"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为保证采购原材料质量和价格，采购部门制定了严格的供应商考察标准和审核流程，公司根</w:t>
      </w:r>
    </w:p>
    <w:p>
      <w:pPr>
        <w:framePr w:w="9533"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据供应商的资质条件、供货能力、产品质量等情况，将符合条件的供应商纳入《合格供应商名录》。</w:t>
      </w:r>
    </w:p>
    <w:p>
      <w:pPr>
        <w:framePr w:w="9533"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对于选择范围广、用量较大的基础原材料，采购部门会用招标或询价比价方式确定最终的供应商。</w:t>
      </w:r>
    </w:p>
    <w:p>
      <w:pPr>
        <w:framePr w:w="9533" w:x="1798" w:y="153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对于重要原材料，为降低采购成本，公司会根据生产季节性和以往原材料价格进行适时调整</w:t>
      </w:r>
    </w:p>
    <w:p>
      <w:pPr>
        <w:framePr w:w="9533"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采购计划，进行合理储备，确保稳定供应。对于通用性强的原辅材料根据生产计划制定采购计划，</w:t>
      </w:r>
    </w:p>
    <w:p>
      <w:pPr>
        <w:framePr w:w="9533"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实施采购。</w:t>
      </w:r>
    </w:p>
    <w:p>
      <w:pPr>
        <w:framePr w:w="1402" w:x="2218" w:y="3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、生产模式</w:t>
      </w:r>
    </w:p>
    <w:p>
      <w:pPr>
        <w:framePr w:w="9110"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本公司生产由制造中心负责组织实施。由于农药施用的季节性较强，国内外市场均有其特定</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的销售旺季。原药生产模式根据公司下达的年度生产经营计划进行生产，制造中心根据经营计划</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组织生产，成品入库储存以备销售旺季所用。制剂生产模式根据销售部门下达的订单进行生产，</w:t>
      </w:r>
    </w:p>
    <w:p>
      <w:pPr>
        <w:framePr w:w="9110" w:x="1798" w:y="439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生产部门结合库存实际情况，决定实际生产的数量。</w:t>
      </w:r>
    </w:p>
    <w:p>
      <w:pPr>
        <w:framePr w:w="1402" w:x="2218" w:y="6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、销售模式</w:t>
      </w:r>
    </w:p>
    <w:p>
      <w:pPr>
        <w:framePr w:w="2035" w:x="2218" w:y="6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）国内销售模式</w:t>
      </w:r>
    </w:p>
    <w:p>
      <w:pPr>
        <w:framePr w:w="4675" w:x="2218" w:y="6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公司将产品直接销售给国内农化企业和经销商。</w:t>
      </w:r>
    </w:p>
    <w:p>
      <w:pPr>
        <w:framePr w:w="2035" w:x="2218" w:y="7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）国外销售模式</w:t>
      </w:r>
    </w:p>
    <w:p>
      <w:pPr>
        <w:framePr w:w="9068" w:x="1798" w:y="76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公司国外销售模式分为自营出口和间接出口两种模式，自营出口是直接将产品销售给境外客</w:t>
      </w:r>
    </w:p>
    <w:p>
      <w:pPr>
        <w:framePr w:w="9068"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户；间接出口是公司现将产品销售给国内农药贸易商，再由贸易商将产品出口至境外。</w:t>
      </w:r>
    </w:p>
    <w:p>
      <w:pPr>
        <w:framePr w:w="9068" w:x="1798" w:y="766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（三）行业情况</w:t>
      </w:r>
    </w:p>
    <w:p>
      <w:pPr>
        <w:framePr w:w="9322" w:x="1798" w:y="88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本公司所属行业为化学原料及化学制品制造业，细分行业为化学农药制造行业。</w:t>
      </w:r>
    </w:p>
    <w:p>
      <w:pPr>
        <w:framePr w:w="9322" w:x="1798" w:y="889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目前国内农化企业集中度低，按照《农药工业“十三五”发展规划》指出到</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4"/>
          <w:sz w:val="21"/>
          <w:szCs w:val="22"/>
          <w:lang w:val="en-US" w:eastAsia="en-US" w:bidi="ar-SA"/>
        </w:rPr>
        <w:t>年，农药原</w:t>
      </w:r>
    </w:p>
    <w:p>
      <w:pPr>
        <w:framePr w:w="9322" w:x="1798" w:y="88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药企业数量减少</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，国内排名前</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位的农药企业集团的销售额达到全国总销售额的</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70</w:t>
      </w:r>
      <w:r>
        <w:rPr>
          <w:rFonts w:ascii="SimSun" w:hAnsi="SimSun" w:eastAsiaTheme="minorEastAsia" w:cs="SimSun"/>
          <w:color w:val="000000"/>
          <w:spacing w:val="3"/>
          <w:sz w:val="21"/>
          <w:szCs w:val="22"/>
          <w:lang w:val="en-US" w:eastAsia="en-US" w:bidi="ar-SA"/>
        </w:rPr>
        <w:t>％以上。</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农业部发布《关于加强管理促进农药产业健康发展的意见》，更明确提出提高集中度，制定政策，</w:t>
      </w:r>
    </w:p>
    <w:p>
      <w:pPr>
        <w:framePr w:w="9322" w:x="1798" w:y="8890"/>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积极培育大企业集团，支持企业采取兼并重组等方式，扩大生产规模，提升质量效益。力争用</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年时间，兼并重组一批中小农药生产企业，退出一批弱小农药生产企业，培育一批大型农药企业</w:t>
      </w:r>
    </w:p>
    <w:p>
      <w:pPr>
        <w:framePr w:w="9322" w:x="1798" w:y="88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集团，提升农药企业竞争力。国内农药企业集中度提升过程将持续进行。</w:t>
      </w:r>
    </w:p>
    <w:p>
      <w:pPr>
        <w:framePr w:w="9322" w:x="1798" w:y="889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日趋严格的环保和监管要求导致的行业大洗牌驱使农药生产企业向园区化、规模化、集约化</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方向发展。我国农药生产企业多而分散的局面将在这一趋势下有望获得改观。规范化发展是未来</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企业必由之路。国内农化企业出现集中的趋势，数家上市公司并购行业企业、产业链上的横向合</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并以及向后整合、产能扩张，国内农药产业的优势资源正在进一步集中。</w:t>
      </w:r>
    </w:p>
    <w:p>
      <w:pPr>
        <w:framePr w:w="9322" w:x="1798" w:y="8890"/>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年初，突如其来的新冠疫情对全球农药产业链带来冲击，南美洲和北美洲疫情发展较为</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严重，两大洲是传统种植大洲，是全球农化市场的重要组成部分。考虑到农药下游是种植业，需</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求相对稳定，疫情对农药下游需求仅带来短期冲击，随着疫情逐步控制，农药行业有望逐步回到</w:t>
      </w:r>
    </w:p>
    <w:p>
      <w:pPr>
        <w:framePr w:w="9322"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正常轨道。</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4" type="#_x0000_t75" style="width:445.6pt;height:2.7pt;margin-top:53.3pt;margin-left:87.45pt;mso-position-horizontal-relative:page;mso-position-vertical-relative:page;position:absolute;z-index:-25165107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 w:name="br1_7"/>
      <w:bookmarkEnd w:id="8"/>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509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二、报告期内公司主要资产发生重大变化情况的说明</w:t>
      </w:r>
    </w:p>
    <w:p>
      <w:pPr>
        <w:framePr w:w="1817" w:x="1798" w:y="2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8" w:x="1798" w:y="2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三、报告期内核心竞争力分析</w:t>
      </w:r>
    </w:p>
    <w:p>
      <w:pPr>
        <w:framePr w:w="1817" w:x="1798" w:y="2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337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公司作为选择性除草剂细分行业龙头，主要优势表现在技术、质量、规模、品牌、技术营销</w:t>
      </w:r>
    </w:p>
    <w:p>
      <w:pPr>
        <w:framePr w:w="9068" w:x="1798" w:y="33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等方面。</w:t>
      </w:r>
    </w:p>
    <w:p>
      <w:pPr>
        <w:framePr w:w="1824" w:x="2218" w:y="43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、研发创新优势</w:t>
      </w:r>
    </w:p>
    <w:p>
      <w:pPr>
        <w:framePr w:w="9110" w:x="1798" w:y="48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公司是国家级高新技术企业，同时拥有以博士、硕士为主力军的研发队伍，辅以良好的技术</w:t>
      </w:r>
    </w:p>
    <w:p>
      <w:pPr>
        <w:framePr w:w="9110" w:x="1798" w:y="4843"/>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创新和研发机制。公司根据市场需求对除草剂、杀菌剂新品种进行挑选。经过十多年的研发，公</w:t>
      </w:r>
    </w:p>
    <w:p>
      <w:pPr>
        <w:framePr w:w="9110" w:x="1798" w:y="48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司已储备了大量新产品的生产技术，并通过对现有产品工艺不断进行优化升级，不断降低产品成</w:t>
      </w:r>
    </w:p>
    <w:p>
      <w:pPr>
        <w:framePr w:w="9110" w:x="1798" w:y="48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本，提高产品市场竞争力。</w:t>
      </w:r>
    </w:p>
    <w:p>
      <w:pPr>
        <w:framePr w:w="9110" w:x="1798" w:y="65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公司积极与高等院校、科研院所建立多种形式的合作协同关系，有效地组织和运用社会资源</w:t>
      </w:r>
    </w:p>
    <w:p>
      <w:pPr>
        <w:framePr w:w="9110" w:x="1798" w:y="65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为公司技术研发服务。公司先后与南开大学、华中师范大学等高等院校合作展开专利化合物的研</w:t>
      </w:r>
    </w:p>
    <w:p>
      <w:pPr>
        <w:framePr w:w="9110" w:x="1798" w:y="65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究。</w:t>
      </w:r>
      <w:r>
        <w:rPr>
          <w:rFonts w:ascii="SimSun" w:eastAsiaTheme="minorEastAsia" w:hAnsiTheme="minorHAnsi" w:cstheme="minorBidi"/>
          <w:color w:val="000000"/>
          <w:sz w:val="21"/>
          <w:szCs w:val="22"/>
          <w:lang w:val="en-US" w:eastAsia="en-US" w:bidi="ar-SA"/>
        </w:rPr>
        <w:t>2015</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月，公司与南开大学农药国家工程研究中心、华中师范大学共同联合组建了“先</w:t>
      </w:r>
    </w:p>
    <w:p>
      <w:pPr>
        <w:framePr w:w="9110" w:x="1798" w:y="65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达农化产业技术创新研究院”，旨在进一步加强产学研合作，提升公司的研发创新能力。已有喹</w:t>
      </w:r>
    </w:p>
    <w:p>
      <w:pPr>
        <w:framePr w:w="9110" w:x="1798" w:y="65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草酮原药、吡唑喹草酯取得专利，并已完成工艺路线的筛选工作，目前进入登记阶段。</w:t>
      </w:r>
    </w:p>
    <w:p>
      <w:pPr>
        <w:framePr w:w="1402" w:x="2218" w:y="87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、质量优势</w:t>
      </w:r>
    </w:p>
    <w:p>
      <w:pPr>
        <w:framePr w:w="9110" w:x="1798" w:y="929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公司高度重视产品质量，对产品精益求精。为了保障产品质量，公司在产品企业标准的制定、</w:t>
      </w:r>
    </w:p>
    <w:p>
      <w:pPr>
        <w:framePr w:w="9110" w:x="1798" w:y="9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合格供应方评价、原材料采购和入厂检验、生产过程控制、产品交叉污染控制、出厂产品检验、</w:t>
      </w:r>
    </w:p>
    <w:p>
      <w:pPr>
        <w:framePr w:w="9110" w:x="1798" w:y="9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运输质量控制、技术服务与支持等方面制定了严格的质量控制标准和流程。同时，公司在生产实</w:t>
      </w:r>
    </w:p>
    <w:p>
      <w:pPr>
        <w:framePr w:w="9110" w:x="1798" w:y="9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践中坚持自主创新，通过合理利用自动化设备，生产工艺不断得到优化，使产品质量和稳定性达</w:t>
      </w:r>
    </w:p>
    <w:p>
      <w:pPr>
        <w:framePr w:w="9110" w:x="1798" w:y="92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到了国际先进水平，同时也为公司在海外市场树立了良好的品牌。</w:t>
      </w:r>
    </w:p>
    <w:p>
      <w:pPr>
        <w:framePr w:w="2669" w:x="2218" w:y="114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、规模及一体化生产优势</w:t>
      </w:r>
    </w:p>
    <w:p>
      <w:pPr>
        <w:framePr w:w="9110" w:x="1798" w:y="119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本公司主要产品烯草酮原药、异噁草松原药、咪草烟原药、烯酰吗啉原药产量均位居全国前</w:t>
      </w:r>
    </w:p>
    <w:p>
      <w:pPr>
        <w:framePr w:w="9110" w:x="1798" w:y="119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列。同时，公司不断加强下游制剂产品系列的研发与生产，所生产原药都配套了几乎所有对应制</w:t>
      </w:r>
    </w:p>
    <w:p>
      <w:pPr>
        <w:framePr w:w="9110" w:x="1798" w:y="119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剂产品，制剂产品丰富齐备，实现了原药业务与制剂业务互相补充，提高了公司整体的抗风险能</w:t>
      </w:r>
    </w:p>
    <w:p>
      <w:pPr>
        <w:framePr w:w="9110" w:x="1798" w:y="1198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力和盈利能力。</w:t>
      </w:r>
    </w:p>
    <w:p>
      <w:pPr>
        <w:framePr w:w="1402" w:x="2218" w:y="13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、品牌优势</w:t>
      </w:r>
    </w:p>
    <w:p>
      <w:pPr>
        <w:framePr w:w="9076" w:x="1798" w:y="1426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公司以优质产品为依托，经过十多年的发展，并于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pacing w:val="-2"/>
          <w:sz w:val="21"/>
          <w:szCs w:val="22"/>
          <w:lang w:val="en-US" w:eastAsia="en-US" w:bidi="ar-SA"/>
        </w:rPr>
        <w:t>年成功登陆资本市场，在国内外农药</w:t>
      </w:r>
    </w:p>
    <w:p>
      <w:pPr>
        <w:framePr w:w="9076" w:x="1798" w:y="1426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市场形成了广泛的品牌影响力，国内外销售连年实现稳步增长。</w:t>
      </w:r>
      <w:r>
        <w:rPr>
          <w:rFonts w:ascii="SimSun" w:eastAsiaTheme="minorEastAsia" w:hAnsiTheme="minorHAnsi" w:cstheme="minorBidi"/>
          <w:color w:val="000000"/>
          <w:sz w:val="21"/>
          <w:szCs w:val="22"/>
          <w:lang w:val="en-US" w:eastAsia="en-US" w:bidi="ar-SA"/>
        </w:rPr>
        <w:t>2013</w:t>
      </w:r>
      <w:r>
        <w:rPr>
          <w:rFonts w:ascii="SimSun" w:hAnsi="SimSun" w:eastAsiaTheme="minorEastAsia" w:cs="SimSun"/>
          <w:color w:val="000000"/>
          <w:spacing w:val="1"/>
          <w:sz w:val="21"/>
          <w:szCs w:val="22"/>
          <w:lang w:val="en-US" w:eastAsia="en-US" w:bidi="ar-SA"/>
        </w:rPr>
        <w:t>年至</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z w:val="21"/>
          <w:szCs w:val="22"/>
          <w:lang w:val="en-US" w:eastAsia="en-US" w:bidi="ar-SA"/>
        </w:rPr>
        <w:t>年度，公司连续</w:t>
      </w:r>
    </w:p>
    <w:p>
      <w:pPr>
        <w:framePr w:w="5731" w:x="1798" w:y="150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七年被中国农药工业协会评为年度“中国农药行业百强”。</w:t>
      </w:r>
    </w:p>
    <w:p>
      <w:pPr>
        <w:framePr w:w="756" w:x="5955"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5" type="#_x0000_t75" style="width:445.6pt;height:2.7pt;margin-top:53.3pt;margin-left:87.45pt;mso-position-horizontal-relative:page;mso-position-vertical-relative:page;position:absolute;z-index:-25165004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9" w:name="br1_8"/>
      <w:bookmarkEnd w:id="9"/>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246"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、技术服务营销优势</w:t>
      </w:r>
    </w:p>
    <w:p>
      <w:pPr>
        <w:framePr w:w="9110" w:x="1798" w:y="20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公司秉承“专业化、精细化”的管理理念，以“做精品、做基层、做服务”为指导方针，依</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托公司强大研发创新能力，不断推出有深度市场差异化的产品，为客户提供解决问题的方案。公</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司设有产品与市场中心，通过制定了技术服务的规章制度、配备了大量的技术推广服务人员，切</w:t>
      </w:r>
    </w:p>
    <w:p>
      <w:pPr>
        <w:framePr w:w="9110" w:x="1798" w:y="20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实为农民做好施药技术服务工作。</w:t>
      </w:r>
    </w:p>
    <w:p>
      <w:pPr>
        <w:framePr w:w="9110" w:x="1798" w:y="38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由于除草剂的特殊性，新产品上市前需要进行</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w:t>
      </w:r>
      <w:r>
        <w:rPr>
          <w:rFonts w:ascii="SimSun" w:hAnsi="SimSun" w:eastAsiaTheme="minorEastAsia" w:cs="SimSun"/>
          <w:color w:val="000000"/>
          <w:sz w:val="21"/>
          <w:szCs w:val="22"/>
          <w:lang w:val="en-US" w:eastAsia="en-US" w:bidi="ar-SA"/>
        </w:rPr>
        <w:t>年的田间试验。这些田间试验全部由公司</w:t>
      </w:r>
    </w:p>
    <w:p>
      <w:pPr>
        <w:framePr w:w="9110" w:x="1798" w:y="38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技术专业团队来完成，通过田间试验，获得了可靠的应用数据。新产品从上市开始，推广队伍在</w:t>
      </w:r>
    </w:p>
    <w:p>
      <w:pPr>
        <w:framePr w:w="9110" w:x="1798" w:y="38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基层农户进行技术应用指导，在重视产品的使用效果的同时寻求解决农民种植生产中的问题。通</w:t>
      </w:r>
    </w:p>
    <w:p>
      <w:pPr>
        <w:framePr w:w="9110" w:x="1798" w:y="38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过技术服务营销的实施，既提升了团队人员的产品应用技术水平，又提高了公司知名度、增强了</w:t>
      </w:r>
    </w:p>
    <w:p>
      <w:pPr>
        <w:framePr w:w="9110" w:x="1798" w:y="38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农户对公司产品的认可度。</w:t>
      </w:r>
    </w:p>
    <w:p>
      <w:pPr>
        <w:framePr w:w="4101" w:x="4283" w:y="6596"/>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第四节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经营情况的讨论与分析</w:t>
      </w:r>
    </w:p>
    <w:p>
      <w:pPr>
        <w:framePr w:w="2774" w:x="1798" w:y="71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一、经营情况的讨论与分析</w:t>
      </w:r>
    </w:p>
    <w:p>
      <w:pPr>
        <w:framePr w:w="9216" w:x="1798" w:y="766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年上半年，面对新冠肺炎疫情带来的严峻考验和复杂多变的国外环境，以及辽宁生产基</w:t>
      </w:r>
    </w:p>
    <w:p>
      <w:pPr>
        <w:framePr w:w="9216" w:x="1798" w:y="766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地“</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”意外火灾爆炸事故造成辽宁基地停产整改等诸多不利局面，在公司董事会的领导下，</w:t>
      </w:r>
    </w:p>
    <w:p>
      <w:pPr>
        <w:framePr w:w="9216" w:x="1798" w:y="766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公司管理层科学筹划，合理调度资源，有序组织进行安全生产和销售布局，积极应对不利因素挑</w:t>
      </w:r>
    </w:p>
    <w:p>
      <w:pPr>
        <w:framePr w:w="9216" w:x="1798" w:y="766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战，统一思想砥砺前行，全力避免新冠疫情和爆炸事故对公司生产经营活动造成较大影响，经营</w:t>
      </w:r>
    </w:p>
    <w:p>
      <w:pPr>
        <w:framePr w:w="9216" w:x="1798" w:y="766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业绩稳步健康发展。</w:t>
      </w:r>
    </w:p>
    <w:p>
      <w:pPr>
        <w:framePr w:w="9110" w:x="1798" w:y="97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报告期内，公司实现营业总收入</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96,551.01</w:t>
      </w:r>
      <w:r>
        <w:rPr>
          <w:rFonts w:ascii="SimSun" w:hAnsi="SimSun" w:eastAsiaTheme="minorEastAsia" w:cs="SimSun"/>
          <w:color w:val="000000"/>
          <w:spacing w:val="-2"/>
          <w:sz w:val="21"/>
          <w:szCs w:val="22"/>
          <w:lang w:val="en-US" w:eastAsia="en-US" w:bidi="ar-SA"/>
        </w:rPr>
        <w:t>万元，同比增长</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12.56%</w:t>
      </w:r>
      <w:r>
        <w:rPr>
          <w:rFonts w:ascii="SimSun" w:hAnsi="SimSun" w:eastAsiaTheme="minorEastAsia" w:cs="SimSun"/>
          <w:color w:val="000000"/>
          <w:spacing w:val="-1"/>
          <w:sz w:val="21"/>
          <w:szCs w:val="22"/>
          <w:lang w:val="en-US" w:eastAsia="en-US" w:bidi="ar-SA"/>
        </w:rPr>
        <w:t>；实现归属于上市公司股</w:t>
      </w:r>
    </w:p>
    <w:p>
      <w:pPr>
        <w:framePr w:w="9110" w:x="1798" w:y="97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东的净利润为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9,585.51</w:t>
      </w:r>
      <w:r>
        <w:rPr>
          <w:rFonts w:ascii="SimSun" w:hAnsi="SimSun" w:eastAsiaTheme="minorEastAsia" w:cs="SimSun"/>
          <w:color w:val="000000"/>
          <w:sz w:val="21"/>
          <w:szCs w:val="22"/>
          <w:lang w:val="en-US" w:eastAsia="en-US" w:bidi="ar-SA"/>
        </w:rPr>
        <w:t>万元，同比下降</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24.59%</w:t>
      </w:r>
      <w:r>
        <w:rPr>
          <w:rFonts w:ascii="SimSun" w:hAnsi="SimSun" w:eastAsiaTheme="minorEastAsia" w:cs="SimSun"/>
          <w:color w:val="000000"/>
          <w:sz w:val="21"/>
          <w:szCs w:val="22"/>
          <w:lang w:val="en-US" w:eastAsia="en-US" w:bidi="ar-SA"/>
        </w:rPr>
        <w:t>。主要原因系①主要产品之一烯草酮系列产品价</w:t>
      </w:r>
    </w:p>
    <w:p>
      <w:pPr>
        <w:framePr w:w="9110" w:x="1798" w:y="97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格较去年同期降幅较大；②辽宁先达因安全事故停产造成的经营费用增加。报告期内主要工作情</w:t>
      </w:r>
    </w:p>
    <w:p>
      <w:pPr>
        <w:framePr w:w="9110" w:x="1798" w:y="97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况如下：</w:t>
      </w:r>
    </w:p>
    <w:p>
      <w:pPr>
        <w:framePr w:w="2141" w:x="2218" w:y="11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（一）管理改进方面</w:t>
      </w:r>
    </w:p>
    <w:p>
      <w:pPr>
        <w:framePr w:w="9178" w:x="1798" w:y="1174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、通过不断完善公司的规章制度和优化公司流程，提高公司综合竞争力。</w:t>
      </w:r>
    </w:p>
    <w:p>
      <w:pPr>
        <w:framePr w:w="9178" w:x="1798" w:y="1174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、健全和完善组织机构建设，完善公司管理架构，借助管理系统优势，从生产经营、财务、</w:t>
      </w:r>
    </w:p>
    <w:p>
      <w:pPr>
        <w:framePr w:w="9178" w:x="1798" w:y="117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人力资源等多方面齐抓共管，统一管理，控制企业决策风险，提升企业运行效率和管理水平。</w:t>
      </w:r>
    </w:p>
    <w:p>
      <w:pPr>
        <w:framePr w:w="9178" w:x="1798" w:y="1174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、持续加大对创新产品、新工艺和对外合作方面的研发投入，进一步提升产品竞争力和公司</w:t>
      </w:r>
    </w:p>
    <w:p>
      <w:pPr>
        <w:framePr w:w="9178" w:x="1798" w:y="1174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核心竞争力，更好地抵御市场风险。</w:t>
      </w:r>
    </w:p>
    <w:p>
      <w:pPr>
        <w:framePr w:w="9110" w:x="1798" w:y="137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、坚持以市场为导向，利用公司品牌优势，稳定现有市场的情况下持续加大对国内外新市场</w:t>
      </w:r>
    </w:p>
    <w:p>
      <w:pPr>
        <w:framePr w:w="9110" w:x="1798" w:y="137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区域的开发力度，同时根据产品成本的变化及时调整公司产品结构和销售策略，不断提高市场份</w:t>
      </w:r>
    </w:p>
    <w:p>
      <w:pPr>
        <w:framePr w:w="9110" w:x="1798" w:y="137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额；通过采取灵活的市场推广策略，不断探索技术服务模式的创新，发掘新的应用领域和客户群</w:t>
      </w:r>
    </w:p>
    <w:p>
      <w:pPr>
        <w:framePr w:w="662" w:x="1798" w:y="15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体。</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6" type="#_x0000_t75" style="width:445.6pt;height:2.7pt;margin-top:53.3pt;margin-left:87.45pt;mso-position-horizontal-relative:page;mso-position-vertical-relative:page;position:absolute;z-index:-25164902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0" w:name="br1_9"/>
      <w:bookmarkEnd w:id="10"/>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141"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（二）产品创新方面</w:t>
      </w:r>
    </w:p>
    <w:p>
      <w:pPr>
        <w:framePr w:w="9078" w:x="1798" w:y="194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、对现有生产产品在自动化、工艺、设备、操作流程等方面持续改进和创新，提高操作安全</w:t>
      </w:r>
    </w:p>
    <w:p>
      <w:pPr>
        <w:framePr w:w="9078"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性，稳定产品质量和收率，降低产品成本，提供产品竞争力。</w:t>
      </w:r>
    </w:p>
    <w:p>
      <w:pPr>
        <w:framePr w:w="9078" w:x="1798" w:y="194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年在沈阳市沈北新区建设新的研发中心，吸引高端技术人才，进一步强化公司研发</w:t>
      </w:r>
    </w:p>
    <w:p>
      <w:pPr>
        <w:framePr w:w="9078"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力量。</w:t>
      </w:r>
    </w:p>
    <w:p>
      <w:pPr>
        <w:framePr w:w="9110"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、三个创制新除草剂化合物“喹草酮”“吡唑喹草酯”“苯丙草酮”正在进行产品登记过程</w:t>
      </w:r>
    </w:p>
    <w:p>
      <w:pPr>
        <w:framePr w:w="9110"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中，未来会逐步进入市场，成为先达新的业绩增长点，也促使先达从生产型企业向创新型企业转</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变。</w:t>
      </w:r>
    </w:p>
    <w:p>
      <w:pPr>
        <w:framePr w:w="2141" w:x="2218" w:y="48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（三）销售布局方面</w:t>
      </w:r>
    </w:p>
    <w:p>
      <w:pPr>
        <w:framePr w:w="9216" w:x="1798" w:y="52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海外市场，公司海外市场开拓取得成果，</w:t>
      </w:r>
      <w:r>
        <w:rPr>
          <w:rFonts w:eastAsiaTheme="minorEastAsia" w:hAnsiTheme="minorHAnsi" w:cstheme="minorBidi"/>
          <w:color w:val="000000"/>
          <w:spacing w:val="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上半年实现主要产品出口销量的稳步提升；增加自</w:t>
      </w:r>
    </w:p>
    <w:p>
      <w:pPr>
        <w:framePr w:w="9216"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主产品的制剂系列产品海外登记投入，上半年投入近</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1,000</w:t>
      </w:r>
      <w:r>
        <w:rPr>
          <w:rFonts w:ascii="SimSun" w:hAnsi="SimSun" w:eastAsiaTheme="minorEastAsia" w:cs="SimSun"/>
          <w:color w:val="000000"/>
          <w:sz w:val="21"/>
          <w:szCs w:val="22"/>
          <w:lang w:val="en-US" w:eastAsia="en-US" w:bidi="ar-SA"/>
        </w:rPr>
        <w:t>万元用于制剂产品海外实验，已完成</w:t>
      </w:r>
    </w:p>
    <w:p>
      <w:pPr>
        <w:framePr w:w="9216"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w:t>
      </w:r>
      <w:r>
        <w:rPr>
          <w:rFonts w:ascii="SimSun" w:hAnsi="SimSun" w:eastAsiaTheme="minorEastAsia" w:cs="SimSun"/>
          <w:color w:val="000000"/>
          <w:spacing w:val="-1"/>
          <w:sz w:val="21"/>
          <w:szCs w:val="22"/>
          <w:lang w:val="en-US" w:eastAsia="en-US" w:bidi="ar-SA"/>
        </w:rPr>
        <w:t>余份</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GLP</w:t>
      </w:r>
      <w:r>
        <w:rPr>
          <w:rFonts w:ascii="SimSun" w:hAnsi="SimSun" w:eastAsiaTheme="minorEastAsia" w:cs="SimSun"/>
          <w:color w:val="000000"/>
          <w:sz w:val="21"/>
          <w:szCs w:val="22"/>
          <w:lang w:val="en-US" w:eastAsia="en-US" w:bidi="ar-SA"/>
        </w:rPr>
        <w:t>报告，预计下半年在大豆主产区巴西、阿根廷和中南美国家提交登记。</w:t>
      </w:r>
    </w:p>
    <w:p>
      <w:pPr>
        <w:framePr w:w="9216" w:x="1798" w:y="521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国内市场，通过坚持具有先达特色的技术营销的经营理念，以“深入田间地头、做上千万个</w:t>
      </w:r>
    </w:p>
    <w:p>
      <w:pPr>
        <w:framePr w:w="9216"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试验”为行动方针，在国内市场赢得良好口碑。</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年上半年受益于东北区域大豆、花生种植面</w:t>
      </w:r>
    </w:p>
    <w:p>
      <w:pPr>
        <w:framePr w:w="9216"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积增加，公司实现了主要产品烯草酮、异噁草松、咪唑乙烟酸的销量提升。同时水稻田</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w:t>
      </w:r>
      <w:r>
        <w:rPr>
          <w:rFonts w:ascii="SimSun" w:hAnsi="SimSun" w:eastAsiaTheme="minorEastAsia" w:cs="SimSun"/>
          <w:color w:val="000000"/>
          <w:spacing w:val="-10"/>
          <w:sz w:val="21"/>
          <w:szCs w:val="22"/>
          <w:lang w:val="en-US" w:eastAsia="en-US" w:bidi="ar-SA"/>
        </w:rPr>
        <w:t>松·丙</w:t>
      </w:r>
    </w:p>
    <w:p>
      <w:pPr>
        <w:framePr w:w="9216"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噁·丙草乳油、</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噁嗪草酮悬浮剂、</w:t>
      </w:r>
      <w:r>
        <w:rPr>
          <w:rFonts w:ascii="SimSun" w:eastAsiaTheme="minorEastAsia" w:hAnsiTheme="minorHAnsi" w:cstheme="minorBidi"/>
          <w:color w:val="000000"/>
          <w:sz w:val="21"/>
          <w:szCs w:val="22"/>
          <w:lang w:val="en-US" w:eastAsia="en-US" w:bidi="ar-SA"/>
        </w:rPr>
        <w:t>2.4</w:t>
      </w:r>
      <w:r>
        <w:rPr>
          <w:rFonts w:ascii="SimSun" w:hAnsi="SimSun" w:eastAsiaTheme="minorEastAsia" w:cs="SimSun"/>
          <w:color w:val="000000"/>
          <w:sz w:val="21"/>
          <w:szCs w:val="22"/>
          <w:lang w:val="en-US" w:eastAsia="en-US" w:bidi="ar-SA"/>
        </w:rPr>
        <w:t>滴丁酸钠盐可溶液剂和玉米田</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苯唑草酮悬浮剂等新</w:t>
      </w:r>
    </w:p>
    <w:p>
      <w:pPr>
        <w:framePr w:w="9216"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产品的销量得到提升，市场初具规模，竞争力优势明显。</w:t>
      </w:r>
    </w:p>
    <w:p>
      <w:pPr>
        <w:framePr w:w="2141" w:x="2218" w:y="8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（四）安全生产方面</w:t>
      </w:r>
    </w:p>
    <w:p>
      <w:pPr>
        <w:framePr w:w="9110" w:x="1798" w:y="88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、针对辽宁先达“</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”事故，公司从组织机构、资金投入、制度建设、教育培训、安全</w:t>
      </w:r>
    </w:p>
    <w:p>
      <w:pPr>
        <w:framePr w:w="9110"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管理、应急管理等方面落实企业安全生产主体责任，在组织好其他生产基地工作的同时着力推进</w:t>
      </w:r>
    </w:p>
    <w:p>
      <w:pPr>
        <w:framePr w:w="9110" w:x="1798" w:y="88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辽宁生产基地复产工作。</w:t>
      </w:r>
    </w:p>
    <w:p>
      <w:pPr>
        <w:framePr w:w="9078" w:x="1798" w:y="101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、公司从集团安委会层面，加强集团内部的督导检查，确保各子公司风险隐患双重预防体系</w:t>
      </w:r>
    </w:p>
    <w:p>
      <w:pPr>
        <w:framePr w:w="9078" w:x="1798" w:y="10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有效运行。</w:t>
      </w:r>
    </w:p>
    <w:p>
      <w:pPr>
        <w:framePr w:w="5414" w:x="2218" w:y="10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、完成博兴、潍坊生产基地安全生产许可证换证工作。</w:t>
      </w:r>
    </w:p>
    <w:p>
      <w:pPr>
        <w:framePr w:w="2141" w:x="2218" w:y="11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（五）项目建设方面</w:t>
      </w:r>
    </w:p>
    <w:p>
      <w:pPr>
        <w:framePr w:w="9110" w:x="1798" w:y="11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公司在组织辽宁先达一期项目复产的同时二期项目“</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吨烯草酮原药，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z w:val="21"/>
          <w:szCs w:val="22"/>
          <w:lang w:val="en-US" w:eastAsia="en-US" w:bidi="ar-SA"/>
        </w:rPr>
        <w:t>吨硫化碱，</w:t>
      </w:r>
    </w:p>
    <w:p>
      <w:pPr>
        <w:framePr w:w="9110"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9,000</w:t>
      </w:r>
      <w:r>
        <w:rPr>
          <w:rFonts w:ascii="SimSun" w:hAnsi="SimSun" w:eastAsiaTheme="minorEastAsia" w:cs="SimSun"/>
          <w:color w:val="000000"/>
          <w:spacing w:val="-5"/>
          <w:sz w:val="21"/>
          <w:szCs w:val="22"/>
          <w:lang w:val="en-US" w:eastAsia="en-US" w:bidi="ar-SA"/>
        </w:rPr>
        <w:t>吨熔融盐”安装建设稳步推进；潍坊生产基地</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3,500</w:t>
      </w:r>
      <w:r>
        <w:rPr>
          <w:rFonts w:ascii="SimSun" w:hAnsi="SimSun" w:eastAsiaTheme="minorEastAsia" w:cs="SimSun"/>
          <w:color w:val="000000"/>
          <w:sz w:val="21"/>
          <w:szCs w:val="22"/>
          <w:lang w:val="en-US" w:eastAsia="en-US" w:bidi="ar-SA"/>
        </w:rPr>
        <w:t>吨原药项目完成立项及安全设施设计、</w:t>
      </w:r>
    </w:p>
    <w:p>
      <w:pPr>
        <w:framePr w:w="9110"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评价报告等相关手续；博兴生产基地新建年产</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吨高端综合智能制剂车间项目，该项目正处</w:t>
      </w:r>
    </w:p>
    <w:p>
      <w:pPr>
        <w:framePr w:w="9110"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于立项阶段。</w:t>
      </w:r>
    </w:p>
    <w:p>
      <w:pPr>
        <w:framePr w:w="2774" w:x="1798" w:y="134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二、报告期内主要经营情况</w:t>
      </w:r>
    </w:p>
    <w:p>
      <w:pPr>
        <w:framePr w:w="1927" w:x="1798" w:y="1375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主营业务分析</w:t>
      </w:r>
    </w:p>
    <w:p>
      <w:pPr>
        <w:framePr w:w="346" w:x="1798" w:y="141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2986" w:x="2218" w:y="141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财务报表相关科目变动分析表</w:t>
      </w:r>
    </w:p>
    <w:p>
      <w:pPr>
        <w:framePr w:w="3507" w:x="7367" w:y="14442"/>
        <w:widowControl w:val="0"/>
        <w:autoSpaceDE w:val="0"/>
        <w:autoSpaceDN w:val="0"/>
        <w:spacing w:line="211" w:lineRule="exact"/>
        <w:ind w:left="116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3507" w:x="7367" w:y="1444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上年同期数</w:t>
      </w:r>
      <w:r>
        <w:rPr>
          <w:rFonts w:eastAsiaTheme="minorEastAsia" w:hAnsiTheme="minorHAnsi" w:cstheme="minorBidi"/>
          <w:color w:val="000000"/>
          <w:spacing w:val="652"/>
          <w:sz w:val="21"/>
          <w:szCs w:val="22"/>
          <w:lang w:val="en-US" w:eastAsia="en-US" w:bidi="ar-SA"/>
        </w:rPr>
        <w:t xml:space="preserve"> </w:t>
      </w:r>
      <w:r>
        <w:rPr>
          <w:rFonts w:ascii="SimSun" w:hAnsi="SimSun" w:eastAsiaTheme="minorEastAsia" w:cs="SimSun"/>
          <w:color w:val="000000"/>
          <w:sz w:val="21"/>
          <w:szCs w:val="22"/>
          <w:lang w:val="en-US" w:eastAsia="en-US" w:bidi="ar-SA"/>
        </w:rPr>
        <w:t>变动比例（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662" w:x="1798" w:y="14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科目</w:t>
      </w:r>
    </w:p>
    <w:p>
      <w:pPr>
        <w:framePr w:w="874" w:x="5521" w:y="14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本期数</w:t>
      </w:r>
    </w:p>
    <w:p>
      <w:pPr>
        <w:framePr w:w="1085" w:x="1798" w:y="15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w:t>
      </w:r>
    </w:p>
    <w:p>
      <w:pPr>
        <w:framePr w:w="1718" w:x="5322" w:y="150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965,510,072.01</w:t>
      </w:r>
    </w:p>
    <w:p>
      <w:pPr>
        <w:framePr w:w="1718" w:x="7307" w:y="150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857,775,015.42</w:t>
      </w:r>
    </w:p>
    <w:p>
      <w:pPr>
        <w:framePr w:w="768" w:x="10096" w:y="150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12.56</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7" type="#_x0000_t75" style="width:445.6pt;height:2.7pt;margin-top:53.3pt;margin-left:87.45pt;mso-position-horizontal-relative:page;mso-position-vertical-relative:page;position:absolute;z-index:-251502592">
            <v:imagedata r:id="rId22" o:title=""/>
          </v:shape>
        </w:pict>
      </w:r>
      <w:r>
        <w:rPr>
          <w:noProof/>
        </w:rPr>
        <w:pict>
          <v:shape id="_x0000_s1048" type="#_x0000_t75" style="width:454.5pt;height:30.7pt;margin-top:733.3pt;margin-left:83.25pt;mso-position-horizontal-relative:page;mso-position-vertical-relative:page;position:absolute;z-index:-251648000">
            <v:imagedata r:id="rId23" o:title=""/>
          </v:shape>
        </w:pict>
      </w:r>
    </w:p>
    <w:p>
      <w:pPr>
        <w:spacing w:line="0" w:lineRule="atLeast"/>
        <w:rPr>
          <w:rFonts w:ascii="Arial" w:eastAsiaTheme="minorEastAsia" w:hAnsiTheme="minorHAnsi" w:cstheme="minorBidi"/>
          <w:color w:val="FF0000"/>
          <w:sz w:val="2"/>
          <w:szCs w:val="22"/>
          <w:lang w:val="en-US" w:eastAsia="en-US" w:bidi="ar-SA"/>
        </w:rPr>
      </w:pPr>
      <w:bookmarkStart w:id="11" w:name="br1_10"/>
      <w:bookmarkEnd w:id="11"/>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5"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w:t>
      </w:r>
    </w:p>
    <w:p>
      <w:pPr>
        <w:framePr w:w="1824" w:x="5219" w:y="1547"/>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661,111,013.11</w:t>
      </w:r>
    </w:p>
    <w:p>
      <w:pPr>
        <w:framePr w:w="1824" w:x="5219"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26,400,985.85</w:t>
      </w:r>
    </w:p>
    <w:p>
      <w:pPr>
        <w:framePr w:w="1824" w:x="5219"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88,629,628.79</w:t>
      </w:r>
    </w:p>
    <w:p>
      <w:pPr>
        <w:framePr w:w="1824" w:x="5219"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-4,484,238.79</w:t>
      </w:r>
    </w:p>
    <w:p>
      <w:pPr>
        <w:framePr w:w="1824" w:x="5219"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50,862,648.69</w:t>
      </w:r>
    </w:p>
    <w:p>
      <w:pPr>
        <w:framePr w:w="1824" w:x="5219"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46,228,827.78</w:t>
      </w:r>
    </w:p>
    <w:p>
      <w:pPr>
        <w:framePr w:w="1824" w:x="5219"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-106,577,825.77</w:t>
      </w:r>
    </w:p>
    <w:p>
      <w:pPr>
        <w:framePr w:w="1824" w:x="5219"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-154,959,742.97</w:t>
      </w:r>
    </w:p>
    <w:p>
      <w:pPr>
        <w:framePr w:w="1824" w:x="7204" w:y="1547"/>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561,986,208.54</w:t>
      </w:r>
    </w:p>
    <w:p>
      <w:pPr>
        <w:framePr w:w="1824" w:x="7204"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22,929,582.25</w:t>
      </w:r>
    </w:p>
    <w:p>
      <w:pPr>
        <w:framePr w:w="1824" w:x="7204"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77,909,908.23</w:t>
      </w:r>
    </w:p>
    <w:p>
      <w:pPr>
        <w:framePr w:w="1824" w:x="7204" w:y="1547"/>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-2,019,112.83</w:t>
      </w:r>
    </w:p>
    <w:p>
      <w:pPr>
        <w:framePr w:w="1824" w:x="7204" w:y="1547"/>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35,928,554.89</w:t>
      </w:r>
    </w:p>
    <w:p>
      <w:pPr>
        <w:framePr w:w="1824" w:x="7204" w:y="1547"/>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102,932,206.59</w:t>
      </w:r>
    </w:p>
    <w:p>
      <w:pPr>
        <w:framePr w:w="1824" w:x="7204"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-315,084,504.69</w:t>
      </w:r>
    </w:p>
    <w:p>
      <w:pPr>
        <w:framePr w:w="1824" w:x="7204" w:y="1547"/>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102,390,154.16</w:t>
      </w:r>
    </w:p>
    <w:p>
      <w:pPr>
        <w:framePr w:w="768" w:x="1009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17.64</w:t>
      </w:r>
    </w:p>
    <w:p>
      <w:pPr>
        <w:framePr w:w="768" w:x="10096"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15.14</w:t>
      </w:r>
    </w:p>
    <w:p>
      <w:pPr>
        <w:framePr w:w="1085"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1085"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768" w:x="10096"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13.76</w:t>
      </w:r>
    </w:p>
    <w:p>
      <w:pPr>
        <w:framePr w:w="1085" w:x="1798"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979" w:x="9888"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-122.09</w:t>
      </w:r>
    </w:p>
    <w:p>
      <w:pPr>
        <w:framePr w:w="979" w:x="9888" w:y="2395"/>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41.57</w:t>
      </w:r>
    </w:p>
    <w:p>
      <w:pPr>
        <w:framePr w:w="1085" w:x="1798"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2986"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2986" w:x="1798" w:y="29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2986" w:x="1798" w:y="29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874" w:x="9991"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-55.09</w:t>
      </w:r>
    </w:p>
    <w:p>
      <w:pPr>
        <w:framePr w:w="874" w:x="9991" w:y="295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66.17</w:t>
      </w:r>
    </w:p>
    <w:p>
      <w:pPr>
        <w:framePr w:w="979" w:x="9888"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-251.34</w:t>
      </w:r>
    </w:p>
    <w:p>
      <w:pPr>
        <w:framePr w:w="4732" w:x="1798" w:y="390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营业收入变动原因说明</w:t>
      </w:r>
      <w:r>
        <w:rPr>
          <w:rFonts w:ascii="Calibri"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主要系销售量增长所致。</w:t>
      </w:r>
    </w:p>
    <w:p>
      <w:pPr>
        <w:framePr w:w="7055" w:x="1798" w:y="431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营业成本变动原因说明</w:t>
      </w:r>
      <w:r>
        <w:rPr>
          <w:rFonts w:ascii="Calibri"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主要系产品销售增长及部分原材料价格上涨所致。</w:t>
      </w:r>
    </w:p>
    <w:p>
      <w:pPr>
        <w:framePr w:w="7055" w:x="1798" w:y="4315"/>
        <w:widowControl w:val="0"/>
        <w:autoSpaceDE w:val="0"/>
        <w:autoSpaceDN w:val="0"/>
        <w:spacing w:before="150"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销售费用变动原因说明</w:t>
      </w:r>
      <w:r>
        <w:rPr>
          <w:rFonts w:ascii="Calibri"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主要系运费增加及登记费用增加所致。</w:t>
      </w:r>
    </w:p>
    <w:p>
      <w:pPr>
        <w:framePr w:w="7055" w:x="1798" w:y="4315"/>
        <w:widowControl w:val="0"/>
        <w:autoSpaceDE w:val="0"/>
        <w:autoSpaceDN w:val="0"/>
        <w:spacing w:before="151"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管理费用变动原因说明</w:t>
      </w:r>
      <w:r>
        <w:rPr>
          <w:rFonts w:ascii="Calibri"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主要系辽宁先达运营费用增加所致。</w:t>
      </w:r>
    </w:p>
    <w:p>
      <w:pPr>
        <w:framePr w:w="7055" w:x="1798" w:y="4315"/>
        <w:widowControl w:val="0"/>
        <w:autoSpaceDE w:val="0"/>
        <w:autoSpaceDN w:val="0"/>
        <w:spacing w:before="153"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财务费用变动原因说明</w:t>
      </w:r>
      <w:r>
        <w:rPr>
          <w:rFonts w:ascii="Calibri"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主要系汇率变动导致汇兑收益增加所致。</w:t>
      </w:r>
    </w:p>
    <w:p>
      <w:pPr>
        <w:framePr w:w="7055" w:x="1798" w:y="4315"/>
        <w:widowControl w:val="0"/>
        <w:autoSpaceDE w:val="0"/>
        <w:autoSpaceDN w:val="0"/>
        <w:spacing w:before="150" w:line="258"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研发费用变动原因说明</w:t>
      </w:r>
      <w:r>
        <w:rPr>
          <w:rFonts w:ascii="Calibri"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主要系本期研发投入增加所致</w:t>
      </w:r>
    </w:p>
    <w:p>
      <w:pPr>
        <w:framePr w:w="7104" w:x="1798" w:y="63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经营活动产生的现金流量净额变动原因说明</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主要系部分原材料备货所致。</w:t>
      </w:r>
    </w:p>
    <w:p>
      <w:pPr>
        <w:framePr w:w="9005" w:x="1798" w:y="67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投资活动产生的现金流量净额变动原因说明</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主要系本期辽宁先达项目建设投资减少所致。</w:t>
      </w:r>
    </w:p>
    <w:p>
      <w:pPr>
        <w:framePr w:w="9005" w:x="1798" w:y="67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筹资活动产生的现金流量净额变动原因说明</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主要系提前偿还部分辽宁先达项目贷款及股利分配</w:t>
      </w:r>
    </w:p>
    <w:p>
      <w:pPr>
        <w:framePr w:w="9005" w:x="1798" w:y="678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所致。</w:t>
      </w:r>
    </w:p>
    <w:p>
      <w:pPr>
        <w:framePr w:w="346" w:x="1798" w:y="80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662" w:x="2218" w:y="80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5299" w:x="1798" w:y="84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公司利润构成或利润来源发生重大变动的详细说明</w:t>
      </w:r>
    </w:p>
    <w:p>
      <w:pPr>
        <w:framePr w:w="1817" w:x="1798" w:y="8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9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9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34" w:x="1798" w:y="1025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非主营业务导致利润重大变化的说明</w:t>
      </w:r>
    </w:p>
    <w:p>
      <w:pPr>
        <w:framePr w:w="1817" w:x="1798" w:y="10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1" w:x="1798" w:y="1119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资产、负债情况分析</w:t>
      </w:r>
    </w:p>
    <w:p>
      <w:pPr>
        <w:framePr w:w="2561" w:x="1798" w:y="11196"/>
        <w:widowControl w:val="0"/>
        <w:autoSpaceDE w:val="0"/>
        <w:autoSpaceDN w:val="0"/>
        <w:spacing w:before="9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3" w:x="1798" w:y="118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资产及负债状况</w:t>
      </w:r>
    </w:p>
    <w:p>
      <w:pPr>
        <w:framePr w:w="1085" w:x="9792" w:y="12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1117" w:x="8898" w:y="124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本期期末</w:t>
      </w:r>
    </w:p>
    <w:p>
      <w:pPr>
        <w:framePr w:w="1117" w:x="8898" w:y="1249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金额较上</w:t>
      </w:r>
    </w:p>
    <w:p>
      <w:pPr>
        <w:framePr w:w="1117" w:x="8898" w:y="1249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年同期期</w:t>
      </w:r>
    </w:p>
    <w:p>
      <w:pPr>
        <w:framePr w:w="1117" w:x="8898" w:y="1249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末变动比</w:t>
      </w:r>
    </w:p>
    <w:p>
      <w:pPr>
        <w:framePr w:w="1117" w:x="8898" w:y="12496"/>
        <w:widowControl w:val="0"/>
        <w:autoSpaceDE w:val="0"/>
        <w:autoSpaceDN w:val="0"/>
        <w:spacing w:before="62"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例（</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117" w:x="8898" w:y="12496"/>
        <w:widowControl w:val="0"/>
        <w:autoSpaceDE w:val="0"/>
        <w:autoSpaceDN w:val="0"/>
        <w:spacing w:before="70" w:line="211" w:lineRule="exact"/>
        <w:ind w:left="24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-29.55</w:t>
      </w:r>
    </w:p>
    <w:p>
      <w:pPr>
        <w:framePr w:w="1085" w:x="4887" w:y="126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本期期末</w:t>
      </w:r>
    </w:p>
    <w:p>
      <w:pPr>
        <w:framePr w:w="1085" w:x="4887" w:y="126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数占总资</w:t>
      </w:r>
    </w:p>
    <w:p>
      <w:pPr>
        <w:framePr w:w="1190" w:x="7705" w:y="12630"/>
        <w:widowControl w:val="0"/>
        <w:autoSpaceDE w:val="0"/>
        <w:autoSpaceDN w:val="0"/>
        <w:spacing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上年同期</w:t>
      </w:r>
    </w:p>
    <w:p>
      <w:pPr>
        <w:framePr w:w="1190" w:x="7705" w:y="12630"/>
        <w:widowControl w:val="0"/>
        <w:autoSpaceDE w:val="0"/>
        <w:autoSpaceDN w:val="0"/>
        <w:spacing w:before="62"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期末数占</w:t>
      </w:r>
    </w:p>
    <w:p>
      <w:pPr>
        <w:framePr w:w="1190" w:x="7705" w:y="12630"/>
        <w:widowControl w:val="0"/>
        <w:autoSpaceDE w:val="0"/>
        <w:autoSpaceDN w:val="0"/>
        <w:spacing w:before="60"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总资产的</w:t>
      </w:r>
    </w:p>
    <w:p>
      <w:pPr>
        <w:framePr w:w="1190" w:x="7705" w:y="126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874" w:x="9993" w:y="12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情况说</w:t>
      </w:r>
    </w:p>
    <w:p>
      <w:pPr>
        <w:framePr w:w="874" w:x="9993" w:y="12904"/>
        <w:widowControl w:val="0"/>
        <w:autoSpaceDE w:val="0"/>
        <w:autoSpaceDN w:val="0"/>
        <w:spacing w:before="6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明</w:t>
      </w:r>
    </w:p>
    <w:p>
      <w:pPr>
        <w:framePr w:w="1085" w:x="1702" w:y="13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项目名称</w:t>
      </w:r>
    </w:p>
    <w:p>
      <w:pPr>
        <w:framePr w:w="1296" w:x="3334" w:y="13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本期期末数</w:t>
      </w:r>
    </w:p>
    <w:p>
      <w:pPr>
        <w:framePr w:w="1718" w:x="6018" w:y="13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上年同期期末数</w:t>
      </w:r>
    </w:p>
    <w:p>
      <w:pPr>
        <w:framePr w:w="1085" w:x="4887" w:y="13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产的比例</w:t>
      </w:r>
    </w:p>
    <w:p>
      <w:pPr>
        <w:framePr w:w="768" w:x="5043" w:y="13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85" w:x="1337" w:y="13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3125" w:y="13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364,533,475.51</w:t>
      </w:r>
    </w:p>
    <w:p>
      <w:pPr>
        <w:framePr w:w="2455" w:x="5276" w:y="13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15.40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517,409,060.19</w:t>
      </w:r>
    </w:p>
    <w:p>
      <w:pPr>
        <w:framePr w:w="2455" w:x="5276" w:y="1386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4.58</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55,822,821.60</w:t>
      </w:r>
    </w:p>
    <w:p>
      <w:pPr>
        <w:framePr w:w="768" w:x="8125" w:y="13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22.46</w:t>
      </w:r>
    </w:p>
    <w:p>
      <w:pPr>
        <w:framePr w:w="768" w:x="8125" w:y="1386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2.42</w:t>
      </w:r>
    </w:p>
    <w:p>
      <w:pPr>
        <w:framePr w:w="768" w:x="8125" w:y="1386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0.05</w:t>
      </w:r>
    </w:p>
    <w:p>
      <w:pPr>
        <w:framePr w:w="768" w:x="8125" w:y="13866"/>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0.65</w:t>
      </w:r>
    </w:p>
    <w:p>
      <w:pPr>
        <w:framePr w:w="768" w:x="8125" w:y="1386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12.44</w:t>
      </w:r>
    </w:p>
    <w:p>
      <w:pPr>
        <w:framePr w:w="610" w:x="10125" w:y="13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w:t>
      </w:r>
    </w:p>
    <w:p>
      <w:pPr>
        <w:framePr w:w="610" w:x="10125" w:y="1386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w:t>
      </w:r>
    </w:p>
    <w:p>
      <w:pPr>
        <w:framePr w:w="3502" w:x="1337" w:y="141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r>
        <w:rPr>
          <w:rFonts w:eastAsiaTheme="minorEastAsia" w:hAnsiTheme="minorHAnsi" w:cstheme="minorBidi"/>
          <w:color w:val="000000"/>
          <w:spacing w:val="2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108,375,598.00</w:t>
      </w:r>
    </w:p>
    <w:p>
      <w:pPr>
        <w:framePr w:w="768" w:x="9247" w:y="141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94.14</w:t>
      </w:r>
    </w:p>
    <w:p>
      <w:pPr>
        <w:framePr w:w="1085" w:x="1337" w:y="144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718" w:x="3125" w:y="14432"/>
        <w:widowControl w:val="0"/>
        <w:autoSpaceDE w:val="0"/>
        <w:autoSpaceDN w:val="0"/>
        <w:spacing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718" w:x="3125" w:y="1443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21,098,703.17</w:t>
      </w:r>
    </w:p>
    <w:p>
      <w:pPr>
        <w:framePr w:w="1718" w:x="3125" w:y="1443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368,789,473.10</w:t>
      </w:r>
    </w:p>
    <w:p>
      <w:pPr>
        <w:framePr w:w="662" w:x="5382" w:y="144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1507" w:x="6229" w:y="144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768" w:x="9247" w:y="145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30.62</w:t>
      </w:r>
    </w:p>
    <w:p>
      <w:pPr>
        <w:framePr w:w="768" w:x="9247" w:y="14572"/>
        <w:widowControl w:val="0"/>
        <w:autoSpaceDE w:val="0"/>
        <w:autoSpaceDN w:val="0"/>
        <w:spacing w:before="21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28.67</w:t>
      </w:r>
    </w:p>
    <w:p>
      <w:pPr>
        <w:framePr w:w="610" w:x="10125" w:y="145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w:t>
      </w:r>
    </w:p>
    <w:p>
      <w:pPr>
        <w:framePr w:w="610" w:x="10125" w:y="14572"/>
        <w:widowControl w:val="0"/>
        <w:autoSpaceDE w:val="0"/>
        <w:autoSpaceDN w:val="0"/>
        <w:spacing w:before="21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w:t>
      </w:r>
    </w:p>
    <w:p>
      <w:pPr>
        <w:framePr w:w="1507" w:x="1337" w:y="14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应收账款融资</w:t>
      </w:r>
    </w:p>
    <w:p>
      <w:pPr>
        <w:framePr w:w="1507" w:x="1337" w:y="1471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2455" w:x="5276" w:y="1471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0.89</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15,091,149.90</w:t>
      </w:r>
    </w:p>
    <w:p>
      <w:pPr>
        <w:framePr w:w="2455" w:x="5276" w:y="1471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15.58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286,626,640.04</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49" type="#_x0000_t75" style="width:445.6pt;height:2.7pt;margin-top:53.3pt;margin-left:87.45pt;mso-position-horizontal-relative:page;mso-position-vertical-relative:page;position:absolute;z-index:-251400192">
            <v:imagedata r:id="rId24" o:title=""/>
          </v:shape>
        </w:pict>
      </w:r>
      <w:r>
        <w:rPr>
          <w:noProof/>
        </w:rPr>
        <w:pict>
          <v:shape id="_x0000_s1050" type="#_x0000_t75" style="width:454.5pt;height:115.55pt;margin-top:74.3pt;margin-left:83.25pt;mso-position-horizontal-relative:page;mso-position-vertical-relative:page;position:absolute;z-index:-251501568">
            <v:imagedata r:id="rId25" o:title=""/>
          </v:shape>
        </w:pict>
      </w:r>
      <w:r>
        <w:rPr>
          <w:noProof/>
        </w:rPr>
        <w:pict>
          <v:shape id="_x0000_s1051" type="#_x0000_t75" style="width:478pt;height:141.55pt;margin-top:621.8pt;margin-left:60.3pt;mso-position-horizontal-relative:page;mso-position-vertical-relative:page;position:absolute;z-index:-251646976">
            <v:imagedata r:id="rId26" o:title=""/>
          </v:shape>
        </w:pict>
      </w:r>
    </w:p>
    <w:p>
      <w:pPr>
        <w:spacing w:line="0" w:lineRule="atLeast"/>
        <w:rPr>
          <w:rFonts w:ascii="Arial" w:eastAsiaTheme="minorEastAsia" w:hAnsiTheme="minorHAnsi" w:cstheme="minorBidi"/>
          <w:color w:val="FF0000"/>
          <w:sz w:val="2"/>
          <w:szCs w:val="22"/>
          <w:lang w:val="en-US" w:eastAsia="en-US" w:bidi="ar-SA"/>
        </w:rPr>
      </w:pPr>
      <w:bookmarkStart w:id="12" w:name="br1_11"/>
      <w:bookmarkEnd w:id="12"/>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296" w:x="1337"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296" w:x="1337"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296" w:x="1337"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296" w:x="1337"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296" w:x="1337"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296" w:x="1337"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296" w:x="1337"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718" w:x="3125" w:y="154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35,812,916.46</w:t>
      </w:r>
    </w:p>
    <w:p>
      <w:pPr>
        <w:framePr w:w="1718" w:x="3125"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1,417,664.32</w:t>
      </w:r>
    </w:p>
    <w:p>
      <w:pPr>
        <w:framePr w:w="1718" w:x="3125"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269,157,754.58</w:t>
      </w:r>
    </w:p>
    <w:p>
      <w:pPr>
        <w:framePr w:w="1718" w:x="3125"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467,376,364.38</w:t>
      </w:r>
    </w:p>
    <w:p>
      <w:pPr>
        <w:framePr w:w="1718" w:x="3125" w:y="1547"/>
        <w:widowControl w:val="0"/>
        <w:autoSpaceDE w:val="0"/>
        <w:autoSpaceDN w:val="0"/>
        <w:spacing w:before="70" w:line="211" w:lineRule="exact"/>
        <w:ind w:left="105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2350" w:x="538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1.51</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14,665,853.92</w:t>
      </w:r>
    </w:p>
    <w:p>
      <w:pPr>
        <w:framePr w:w="768" w:x="8125" w:y="154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0.64</w:t>
      </w:r>
    </w:p>
    <w:p>
      <w:pPr>
        <w:framePr w:w="768" w:x="8125"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0.10</w:t>
      </w:r>
    </w:p>
    <w:p>
      <w:pPr>
        <w:framePr w:w="768" w:x="8125"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14.64</w:t>
      </w:r>
    </w:p>
    <w:p>
      <w:pPr>
        <w:framePr w:w="768" w:x="8125"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16.27</w:t>
      </w:r>
    </w:p>
    <w:p>
      <w:pPr>
        <w:framePr w:w="768" w:x="8125"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1.74</w:t>
      </w:r>
    </w:p>
    <w:p>
      <w:pPr>
        <w:framePr w:w="768" w:x="8125"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8.42</w:t>
      </w:r>
    </w:p>
    <w:p>
      <w:pPr>
        <w:framePr w:w="768" w:x="8125"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0.12</w:t>
      </w:r>
    </w:p>
    <w:p>
      <w:pPr>
        <w:framePr w:w="768" w:x="8125"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1.01</w:t>
      </w:r>
    </w:p>
    <w:p>
      <w:pPr>
        <w:framePr w:w="874" w:x="9141"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144.19</w:t>
      </w:r>
    </w:p>
    <w:p>
      <w:pPr>
        <w:framePr w:w="874" w:x="9141"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-35.63</w:t>
      </w:r>
    </w:p>
    <w:p>
      <w:pPr>
        <w:framePr w:w="874" w:x="9141"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-20.21</w:t>
      </w:r>
    </w:p>
    <w:p>
      <w:pPr>
        <w:framePr w:w="874" w:x="9141"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24.70</w:t>
      </w:r>
    </w:p>
    <w:p>
      <w:pPr>
        <w:framePr w:w="874" w:x="9141"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610" w:x="10125"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p>
    <w:p>
      <w:pPr>
        <w:framePr w:w="610" w:x="10125"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w:t>
      </w:r>
    </w:p>
    <w:p>
      <w:pPr>
        <w:framePr w:w="610" w:x="10125"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w:t>
      </w:r>
    </w:p>
    <w:p>
      <w:pPr>
        <w:framePr w:w="610" w:x="10125"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w:t>
      </w:r>
    </w:p>
    <w:p>
      <w:pPr>
        <w:framePr w:w="610" w:x="10125"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w:t>
      </w:r>
    </w:p>
    <w:p>
      <w:pPr>
        <w:framePr w:w="662" w:x="5382"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0.06</w:t>
      </w:r>
    </w:p>
    <w:p>
      <w:pPr>
        <w:framePr w:w="1507" w:x="6229"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2455" w:x="5276"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11.37</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337,313,912.22</w:t>
      </w:r>
    </w:p>
    <w:p>
      <w:pPr>
        <w:framePr w:w="2455" w:x="5276"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19.75</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374,789,113.33</w:t>
      </w:r>
    </w:p>
    <w:p>
      <w:pPr>
        <w:framePr w:w="2455" w:x="5276" w:y="21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40,000,000.00</w:t>
      </w:r>
    </w:p>
    <w:p>
      <w:pPr>
        <w:framePr w:w="2455" w:x="5276"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13.28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193,900,000.00</w:t>
      </w:r>
    </w:p>
    <w:p>
      <w:pPr>
        <w:framePr w:w="1718" w:x="3125"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314,250,000.00</w:t>
      </w:r>
    </w:p>
    <w:p>
      <w:pPr>
        <w:framePr w:w="1718" w:x="3125" w:y="2959"/>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5,854,684.32</w:t>
      </w:r>
    </w:p>
    <w:p>
      <w:pPr>
        <w:framePr w:w="1646" w:x="9141" w:y="295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62.07</w:t>
      </w:r>
      <w:r>
        <w:rPr>
          <w:rFonts w:ascii="SimSun" w:eastAsiaTheme="minorEastAsia" w:hAnsiTheme="minorHAnsi" w:cstheme="minorBidi"/>
          <w:color w:val="000000"/>
          <w:spacing w:val="193"/>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p>
    <w:p>
      <w:pPr>
        <w:framePr w:w="1646" w:x="9141" w:y="295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111.19</w:t>
      </w:r>
      <w:r>
        <w:rPr>
          <w:rFonts w:ascii="SimSun" w:eastAsiaTheme="minorEastAsia" w:hAnsiTheme="minorHAnsi" w:cstheme="minorBidi"/>
          <w:color w:val="000000"/>
          <w:spacing w:val="193"/>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p>
    <w:p>
      <w:pPr>
        <w:framePr w:w="1646" w:x="9141" w:y="295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-47.31</w:t>
      </w:r>
    </w:p>
    <w:p>
      <w:pPr>
        <w:framePr w:w="662" w:x="5382"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0.25</w:t>
      </w:r>
    </w:p>
    <w:p>
      <w:pPr>
        <w:framePr w:w="1507" w:x="6229"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3502" w:x="1337"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7"/>
          <w:sz w:val="21"/>
          <w:szCs w:val="22"/>
          <w:lang w:val="en-US" w:eastAsia="en-US" w:bidi="ar-SA"/>
        </w:rPr>
        <w:t>一年内到期的非</w:t>
      </w:r>
      <w:r>
        <w:rPr>
          <w:rFonts w:eastAsiaTheme="minorEastAsia" w:hAnsiTheme="minorHAnsi" w:cstheme="minorBidi"/>
          <w:color w:val="000000"/>
          <w:spacing w:val="2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12,250,000.00</w:t>
      </w:r>
    </w:p>
    <w:p>
      <w:pPr>
        <w:framePr w:w="2350" w:x="5382"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0.52</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23,250,000.00</w:t>
      </w:r>
    </w:p>
    <w:p>
      <w:pPr>
        <w:framePr w:w="715" w:x="10072" w:y="36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p>
    <w:p>
      <w:pPr>
        <w:framePr w:w="1085" w:x="1337" w:y="37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w:t>
      </w:r>
    </w:p>
    <w:p>
      <w:pPr>
        <w:framePr w:w="1718" w:x="1337" w:y="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190" w:x="3651" w:y="40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63,790.24</w:t>
      </w:r>
    </w:p>
    <w:p>
      <w:pPr>
        <w:framePr w:w="662" w:x="5382" w:y="40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1296" w:x="6438" w:y="40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662" w:x="8231" w:y="40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1646" w:x="9141" w:y="40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-37.99</w:t>
      </w:r>
      <w:r>
        <w:rPr>
          <w:rFonts w:ascii="SimSun" w:eastAsiaTheme="minorEastAsia" w:hAnsiTheme="minorHAnsi" w:cstheme="minorBidi"/>
          <w:color w:val="000000"/>
          <w:spacing w:val="193"/>
          <w:sz w:val="21"/>
          <w:szCs w:val="22"/>
          <w:lang w:val="en-US" w:eastAsia="en-US" w:bidi="ar-SA"/>
        </w:rPr>
        <w:t xml:space="preserve"> </w:t>
      </w: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13</w:t>
      </w:r>
    </w:p>
    <w:p>
      <w:pPr>
        <w:framePr w:w="1085" w:x="1798" w:y="46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3761" w:x="1798" w:y="5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：主要系购买理财产品所致。</w:t>
      </w:r>
    </w:p>
    <w:p>
      <w:pPr>
        <w:framePr w:w="3761" w:x="1798" w:y="50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：主要系购买理财产品增加所致。</w:t>
      </w:r>
    </w:p>
    <w:p>
      <w:pPr>
        <w:framePr w:w="3761" w:x="1798" w:y="50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：主要系银行承兑回款增加所致。</w:t>
      </w:r>
    </w:p>
    <w:p>
      <w:pPr>
        <w:framePr w:w="5021" w:x="1798" w:y="62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：主要系销售收入增长导致应收账款增加所致。</w:t>
      </w:r>
    </w:p>
    <w:p>
      <w:pPr>
        <w:framePr w:w="5021" w:x="1798" w:y="626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：主要系预付材料款增加所致。</w:t>
      </w:r>
    </w:p>
    <w:p>
      <w:pPr>
        <w:framePr w:w="3972" w:x="1798" w:y="70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：主要系应收出口退税款减少所致。</w:t>
      </w:r>
    </w:p>
    <w:p>
      <w:pPr>
        <w:framePr w:w="7124" w:x="1798" w:y="74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：主要系辽宁先达一期项目部分固定资产进行技改转入在建工程所致。</w:t>
      </w:r>
    </w:p>
    <w:p>
      <w:pPr>
        <w:framePr w:w="7124" w:x="1798" w:y="74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：主要系辽宁先达一期项目部分固定资产进行技改转入在建工程所致。</w:t>
      </w:r>
    </w:p>
    <w:p>
      <w:pPr>
        <w:framePr w:w="7124" w:x="1798" w:y="74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：主要系本期偿还借款所致。</w:t>
      </w:r>
    </w:p>
    <w:p>
      <w:pPr>
        <w:framePr w:w="5547" w:x="1798" w:y="87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：主要系办理银行承兑汇票用于采购结算增加所致。</w:t>
      </w:r>
    </w:p>
    <w:p>
      <w:pPr>
        <w:framePr w:w="5547" w:x="1798" w:y="87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：主要系本期应交所得税增加所致。</w:t>
      </w:r>
    </w:p>
    <w:p>
      <w:pPr>
        <w:framePr w:w="4705" w:x="1798" w:y="9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：主要系提前偿还辽宁先达项目贷款所致。</w:t>
      </w:r>
    </w:p>
    <w:p>
      <w:pPr>
        <w:framePr w:w="4705" w:x="1798" w:y="9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13</w:t>
      </w:r>
      <w:r>
        <w:rPr>
          <w:rFonts w:ascii="SimSun" w:hAnsi="SimSun" w:eastAsiaTheme="minorEastAsia" w:cs="SimSun"/>
          <w:color w:val="000000"/>
          <w:sz w:val="21"/>
          <w:szCs w:val="22"/>
          <w:lang w:val="en-US" w:eastAsia="en-US" w:bidi="ar-SA"/>
        </w:rPr>
        <w:t>：主要系本期固定资产加速折旧减少所致。</w:t>
      </w:r>
    </w:p>
    <w:p>
      <w:pPr>
        <w:framePr w:w="3617" w:x="1798" w:y="104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截至报告期末主要资产受限情况</w:t>
      </w:r>
    </w:p>
    <w:p>
      <w:pPr>
        <w:framePr w:w="1817" w:x="1798" w:y="10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016" w:x="1798" w:y="11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详见七、合并财务报表项目科目注释</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81</w:t>
      </w:r>
      <w:r>
        <w:rPr>
          <w:rFonts w:ascii="SimSun" w:hAnsi="SimSun" w:eastAsiaTheme="minorEastAsia" w:cs="SimSun"/>
          <w:color w:val="000000"/>
          <w:sz w:val="21"/>
          <w:szCs w:val="22"/>
          <w:lang w:val="en-US" w:eastAsia="en-US" w:bidi="ar-SA"/>
        </w:rPr>
        <w:t>、所有权或使用权受到限制的资产</w:t>
      </w:r>
    </w:p>
    <w:p>
      <w:pPr>
        <w:framePr w:w="1510" w:x="1798" w:y="11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其他说明</w:t>
      </w:r>
    </w:p>
    <w:p>
      <w:pPr>
        <w:framePr w:w="1817" w:x="1798" w:y="122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7" w:x="1798" w:y="1281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四</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投资状况分析</w:t>
      </w:r>
    </w:p>
    <w:p>
      <w:pPr>
        <w:framePr w:w="2770" w:x="1798" w:y="13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对外股权投资总体分析</w:t>
      </w:r>
    </w:p>
    <w:p>
      <w:pPr>
        <w:framePr w:w="2770" w:x="1798" w:y="13300"/>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8" w:x="1798" w:y="143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重大的股权投资</w:t>
      </w:r>
    </w:p>
    <w:p>
      <w:pPr>
        <w:framePr w:w="1817" w:x="1798" w:y="147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2" type="#_x0000_t75" style="width:445.6pt;height:2.7pt;margin-top:53.3pt;margin-left:87.45pt;mso-position-horizontal-relative:page;mso-position-vertical-relative:page;position:absolute;z-index:-251500544">
            <v:imagedata r:id="rId27" o:title=""/>
          </v:shape>
        </w:pict>
      </w:r>
      <w:r>
        <w:rPr>
          <w:noProof/>
        </w:rPr>
        <w:pict>
          <v:shape id="_x0000_s1053" type="#_x0000_t75" style="width:478pt;height:143.25pt;margin-top:74.3pt;margin-left:60.3pt;mso-position-horizontal-relative:page;mso-position-vertical-relative:page;position:absolute;z-index:-251645952">
            <v:imagedata r:id="rId28" o:title=""/>
          </v:shape>
        </w:pict>
      </w:r>
    </w:p>
    <w:p>
      <w:pPr>
        <w:spacing w:line="0" w:lineRule="atLeast"/>
        <w:rPr>
          <w:rFonts w:ascii="Arial" w:eastAsiaTheme="minorEastAsia" w:hAnsiTheme="minorHAnsi" w:cstheme="minorBidi"/>
          <w:color w:val="FF0000"/>
          <w:sz w:val="2"/>
          <w:szCs w:val="22"/>
          <w:lang w:val="en-US" w:eastAsia="en-US" w:bidi="ar-SA"/>
        </w:rPr>
      </w:pPr>
      <w:bookmarkStart w:id="13" w:name="br1_12"/>
      <w:bookmarkEnd w:id="13"/>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重大的非股权投资</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0"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以公允价值计量的金融资产</w:t>
      </w:r>
    </w:p>
    <w:p>
      <w:pPr>
        <w:framePr w:w="1817" w:x="1798" w:y="29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1" w:x="1798" w:y="352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五</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重大资产和股权出售</w:t>
      </w:r>
    </w:p>
    <w:p>
      <w:pPr>
        <w:framePr w:w="1817" w:x="1798" w:y="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460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六</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主要控股参股公司分析</w:t>
      </w:r>
    </w:p>
    <w:p>
      <w:pPr>
        <w:framePr w:w="1817" w:x="1798" w:y="5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0" w:x="1798" w:y="567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七</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公司控制的结构化主体情况</w:t>
      </w:r>
    </w:p>
    <w:p>
      <w:pPr>
        <w:framePr w:w="1817" w:x="1798" w:y="61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1798" w:y="6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三、其他披露事项</w:t>
      </w:r>
    </w:p>
    <w:p>
      <w:pPr>
        <w:framePr w:w="9072" w:x="1798" w:y="721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6"/>
          <w:sz w:val="21"/>
          <w:szCs w:val="22"/>
          <w:lang w:val="en-US" w:eastAsia="en-US" w:bidi="ar-SA"/>
        </w:rPr>
        <w:t>预测年初至下一报告期期末的累计净利润可能为亏损或者与上年同期相比发生大幅度变动</w:t>
      </w:r>
    </w:p>
    <w:p>
      <w:pPr>
        <w:framePr w:w="1507" w:x="2218" w:y="76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的警示及说明</w:t>
      </w:r>
    </w:p>
    <w:p>
      <w:pPr>
        <w:framePr w:w="1817" w:x="1798" w:y="8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8" w:x="1798" w:y="869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可能面对的风险</w:t>
      </w:r>
    </w:p>
    <w:p>
      <w:pPr>
        <w:framePr w:w="1817" w:x="1798" w:y="9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24" w:x="2218" w:y="94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、市场竞争风险</w:t>
      </w:r>
    </w:p>
    <w:p>
      <w:pPr>
        <w:framePr w:w="9110" w:x="1798" w:y="985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就现有产品而言，公司在国内拥有较明显的规模、技术、质量、品牌优势，但随着国际农药</w:t>
      </w:r>
    </w:p>
    <w:p>
      <w:pPr>
        <w:framePr w:w="9110" w:x="1798" w:y="985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行业巨头进入国内市场，以及国内竞争对手的扩充产能，导致行业竞争日趋加剧，导致主要产品</w:t>
      </w:r>
    </w:p>
    <w:p>
      <w:pPr>
        <w:framePr w:w="9110" w:x="1798" w:y="985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价格下跌，毛利率下降，进而影响公司的盈利水平。公司将加大现有产品的工艺优化力度，保持</w:t>
      </w:r>
    </w:p>
    <w:p>
      <w:pPr>
        <w:framePr w:w="9110" w:x="1798" w:y="985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竞争优势，同时加快新产品研发和上市进度，增加新的盈利点，增强公司竞争力。</w:t>
      </w:r>
    </w:p>
    <w:p>
      <w:pPr>
        <w:framePr w:w="9110" w:x="1798" w:y="985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、原材料价格波动风险</w:t>
      </w:r>
    </w:p>
    <w:p>
      <w:pPr>
        <w:framePr w:w="9110" w:x="1798" w:y="118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公司主要原材料种类较多，主要为石油化工行业的下游产品。未来随着安全环保政策持续高</w:t>
      </w:r>
    </w:p>
    <w:p>
      <w:pPr>
        <w:framePr w:w="9110" w:x="1798" w:y="11893"/>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压，原材料的价格会出现较大幅度上涨。原材料价格的波动将影响公司的生产成本，如果本公司</w:t>
      </w:r>
    </w:p>
    <w:p>
      <w:pPr>
        <w:framePr w:w="9110" w:x="1798" w:y="118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不能有效地将原材料价格上涨的压力转移或抵消，将会对本公司的业绩产生一定影响。公司将进</w:t>
      </w:r>
    </w:p>
    <w:p>
      <w:pPr>
        <w:framePr w:w="9110" w:x="1798" w:y="118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一步加强采购管理，发展战略合作客户，多渠道降低采购成本。</w:t>
      </w:r>
    </w:p>
    <w:p>
      <w:pPr>
        <w:framePr w:w="1824" w:x="2218" w:y="13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、汇率变动风险</w:t>
      </w:r>
    </w:p>
    <w:p>
      <w:pPr>
        <w:framePr w:w="9322" w:x="1798" w:y="1393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公司出口收入占比较高同时赊销账期较长，出口产品主要采用美元结算。国际汇率波动以及</w:t>
      </w:r>
    </w:p>
    <w:p>
      <w:pPr>
        <w:framePr w:w="9322" w:x="1798" w:y="1393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部分区域政治不稳定，可能对公司产品的出口、收款和结汇等造成不利影响。针对国际汇率风险，</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4" type="#_x0000_t75" style="width:445.6pt;height:2.7pt;margin-top:53.3pt;margin-left:87.45pt;mso-position-horizontal-relative:page;mso-position-vertical-relative:page;position:absolute;z-index:-25164492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4" w:name="br1_13"/>
      <w:bookmarkEnd w:id="14"/>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322"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加强对海外市场和客户的风险评估，通过购买出口信用保险方式规避风险，同时加强现金流预警</w:t>
      </w:r>
    </w:p>
    <w:p>
      <w:pPr>
        <w:framePr w:w="9322"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管理，完善海外货款回收机制，灵活使用包括远期锁定在内的贸易融资金融工具，降低汇兑损失。</w:t>
      </w:r>
    </w:p>
    <w:p>
      <w:pPr>
        <w:framePr w:w="9322" w:x="1798" w:y="153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、安全环保风险</w:t>
      </w:r>
    </w:p>
    <w:p>
      <w:pPr>
        <w:framePr w:w="9322"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作为化学品生产企业，生产运营和安全环保风险不能根除，同时随着国家安全环保政策的日</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益严格，随着安环环保方面的投入不断加大，公司运行成本也会相应提高，对公司的收益水平会</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造成一定的不利影响。为应对安全环保所带来的风险，公司工作重点在以下几个方面：①加强在</w:t>
      </w:r>
    </w:p>
    <w:p>
      <w:pPr>
        <w:framePr w:w="9322" w:x="1798" w:y="27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生产运营上精细化管理；②通过不断对生产工艺进行优化，确保工艺过程的绿色环保，持续降低</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生产过程中的能耗、物耗，提高循环利用水平；③通过对环保设施的不断升级改造，增强三废处</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理能力。</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日，辽宁先达发生火灾爆炸事故，目前辽宁先达尚在停产整改中，对此</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公司针对生产全过程进行全面自查，并针对提出的问题进行整改，争取早日恢复生产经营。同时，</w:t>
      </w:r>
    </w:p>
    <w:p>
      <w:pPr>
        <w:framePr w:w="9322" w:x="1798" w:y="27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公司将认真吸取事故教训，引以为戒、举一反三，采取坚决有力措施，切实做好安全生产工作。</w:t>
      </w:r>
    </w:p>
    <w:p>
      <w:pPr>
        <w:framePr w:w="9322" w:x="1798" w:y="2762"/>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、辽宁先达项目建设导致利润下滑的风险</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日，辽宁先达烯草酮车间试生产期间发生爆炸事故，辽宁先达目前处于停产</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阶段，到复产尚需一定时间。已对</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年经营业绩造成一定程度影响。公司管理层将组织好其他</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生产基地工作的同时着力推进辽宁生产基地复产和项目建设</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争取早日复产发挥效益。</w:t>
      </w:r>
    </w:p>
    <w:p>
      <w:pPr>
        <w:framePr w:w="1927" w:x="1798" w:y="797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其他披露事项</w:t>
      </w:r>
    </w:p>
    <w:p>
      <w:pPr>
        <w:framePr w:w="1817" w:x="1798" w:y="83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17" w:x="5125" w:y="9214"/>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第五节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2"/>
          <w:sz w:val="28"/>
          <w:szCs w:val="22"/>
          <w:lang w:val="en-US" w:eastAsia="en-US" w:bidi="ar-SA"/>
        </w:rPr>
        <w:t>重要事项</w:t>
      </w:r>
    </w:p>
    <w:p>
      <w:pPr>
        <w:framePr w:w="2354" w:x="1798" w:y="98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一、股东大会情况简介</w:t>
      </w:r>
    </w:p>
    <w:p>
      <w:pPr>
        <w:framePr w:w="2354" w:x="1798" w:y="9812"/>
        <w:widowControl w:val="0"/>
        <w:autoSpaceDE w:val="0"/>
        <w:autoSpaceDN w:val="0"/>
        <w:spacing w:before="403" w:line="211" w:lineRule="exact"/>
        <w:ind w:left="62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会议届次</w:t>
      </w:r>
    </w:p>
    <w:p>
      <w:pPr>
        <w:framePr w:w="2352" w:x="6320" w:y="10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决议刊登的指定网站的</w:t>
      </w:r>
    </w:p>
    <w:p>
      <w:pPr>
        <w:framePr w:w="1085" w:x="4664" w:y="104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召开日期</w:t>
      </w:r>
    </w:p>
    <w:p>
      <w:pPr>
        <w:framePr w:w="2141" w:x="8711" w:y="104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决议刊登的披露日期</w:t>
      </w:r>
    </w:p>
    <w:p>
      <w:pPr>
        <w:framePr w:w="1085" w:x="6949" w:y="10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查询索引</w:t>
      </w:r>
    </w:p>
    <w:p>
      <w:pPr>
        <w:framePr w:w="4181" w:x="1798" w:y="108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w:t>
      </w:r>
      <w:r>
        <w:rPr>
          <w:rFonts w:eastAsiaTheme="minorEastAsia" w:hAnsiTheme="minorHAnsi" w:cstheme="minorBidi"/>
          <w:color w:val="000000"/>
          <w:spacing w:val="3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w:t>
      </w:r>
    </w:p>
    <w:p>
      <w:pPr>
        <w:framePr w:w="1718" w:x="6275" w:y="108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www.sse.com.cn</w:t>
      </w:r>
    </w:p>
    <w:p>
      <w:pPr>
        <w:framePr w:w="1870" w:x="8682" w:y="108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w:t>
      </w:r>
      <w:r>
        <w:rPr>
          <w:rFonts w:ascii="SimSun" w:hAnsi="SimSun" w:eastAsiaTheme="minorEastAsia" w:cs="SimSun"/>
          <w:color w:val="000000"/>
          <w:sz w:val="21"/>
          <w:szCs w:val="22"/>
          <w:lang w:val="en-US" w:eastAsia="en-US" w:bidi="ar-SA"/>
        </w:rPr>
        <w:t>日</w:t>
      </w:r>
    </w:p>
    <w:p>
      <w:pPr>
        <w:framePr w:w="1930" w:x="1798" w:y="114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股东大会情况说明</w:t>
      </w:r>
    </w:p>
    <w:p>
      <w:pPr>
        <w:framePr w:w="1930" w:x="1798" w:y="1140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1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二、利润分配或资本公积金转增预案</w:t>
      </w:r>
    </w:p>
    <w:p>
      <w:pPr>
        <w:framePr w:w="5299" w:x="1798" w:y="1286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半年度拟定的利润分配预案、公积金转增股本预案</w:t>
      </w:r>
    </w:p>
    <w:p>
      <w:pPr>
        <w:framePr w:w="1718" w:x="1798" w:y="132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是否分配或转增</w:t>
      </w:r>
    </w:p>
    <w:p>
      <w:pPr>
        <w:framePr w:w="451" w:x="10420" w:y="132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否</w:t>
      </w:r>
    </w:p>
    <w:p>
      <w:pPr>
        <w:framePr w:w="451" w:x="10420" w:y="1322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2866" w:x="1798" w:y="13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股送红股数（股）</w:t>
      </w:r>
    </w:p>
    <w:p>
      <w:pPr>
        <w:framePr w:w="2866" w:x="1798" w:y="1350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pacing w:val="1"/>
          <w:sz w:val="21"/>
          <w:szCs w:val="22"/>
          <w:lang w:val="en-US" w:eastAsia="en-US" w:bidi="ar-SA"/>
        </w:rPr>
        <w:t>股派息数</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（含税）</w:t>
      </w:r>
    </w:p>
    <w:p>
      <w:pPr>
        <w:framePr w:w="2866" w:x="1798" w:y="1350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w:t>
      </w:r>
      <w:r>
        <w:rPr>
          <w:rFonts w:ascii="SimSun" w:hAnsi="SimSun" w:eastAsiaTheme="minorEastAsia" w:cs="SimSun"/>
          <w:color w:val="000000"/>
          <w:sz w:val="21"/>
          <w:szCs w:val="22"/>
          <w:lang w:val="en-US" w:eastAsia="en-US" w:bidi="ar-SA"/>
        </w:rPr>
        <w:t>股转增数（股）</w:t>
      </w:r>
    </w:p>
    <w:p>
      <w:pPr>
        <w:framePr w:w="346" w:x="10526" w:y="137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526" w:y="140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675" w:x="4009" w:y="143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利润分配或资本公积金转增预案的相关情况说明</w:t>
      </w:r>
    </w:p>
    <w:p>
      <w:pPr>
        <w:framePr w:w="451" w:x="6109" w:y="14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55" type="#_x0000_t75" style="width:445.6pt;height:2.7pt;margin-top:53.3pt;margin-left:87.45pt;mso-position-horizontal-relative:page;mso-position-vertical-relative:page;position:absolute;z-index:-251399168">
            <v:imagedata r:id="rId29" o:title=""/>
          </v:shape>
        </w:pict>
      </w:r>
      <w:r>
        <w:rPr>
          <w:noProof/>
        </w:rPr>
        <w:pict>
          <v:shape id="_x0000_s1056" type="#_x0000_t75" style="width:454.95pt;height:44.35pt;margin-top:511.5pt;margin-left:83.25pt;mso-position-horizontal-relative:page;mso-position-vertical-relative:page;position:absolute;z-index:-251499520">
            <v:imagedata r:id="rId30" o:title=""/>
          </v:shape>
        </w:pict>
      </w:r>
      <w:r>
        <w:rPr>
          <w:noProof/>
        </w:rPr>
        <w:pict>
          <v:shape id="_x0000_s1057" type="#_x0000_t75" style="width:454.95pt;height:87.2pt;margin-top:658.2pt;margin-left:83.25pt;mso-position-horizontal-relative:page;mso-position-vertical-relative:page;position:absolute;z-index:-251643904">
            <v:imagedata r:id="rId31" o:title=""/>
          </v:shape>
        </w:pict>
      </w:r>
    </w:p>
    <w:p>
      <w:pPr>
        <w:spacing w:line="0" w:lineRule="atLeast"/>
        <w:rPr>
          <w:rFonts w:ascii="Arial" w:eastAsiaTheme="minorEastAsia" w:hAnsiTheme="minorHAnsi" w:cstheme="minorBidi"/>
          <w:color w:val="FF0000"/>
          <w:sz w:val="2"/>
          <w:szCs w:val="22"/>
          <w:lang w:val="en-US" w:eastAsia="en-US" w:bidi="ar-SA"/>
        </w:rPr>
      </w:pPr>
      <w:bookmarkStart w:id="15" w:name="br1_14"/>
      <w:bookmarkEnd w:id="15"/>
      <w:r>
        <w:rPr>
          <w:rFonts w:ascii="Arial" w:eastAsiaTheme="minorEastAsia" w:hAnsiTheme="minorHAnsi" w:cstheme="minorBidi"/>
          <w:color w:val="FF0000"/>
          <w:sz w:val="2"/>
          <w:szCs w:val="22"/>
          <w:lang w:val="en-US" w:eastAsia="en-US" w:bidi="ar-SA"/>
        </w:rPr>
        <w:t xml:space="preserve"> </w:t>
      </w:r>
    </w:p>
    <w:p>
      <w:pPr>
        <w:framePr w:w="1730" w:x="7705"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5" w:x="1524" w:y="16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三、承诺事项履行情况</w:t>
      </w:r>
    </w:p>
    <w:p>
      <w:pPr>
        <w:framePr w:w="10503" w:x="1524" w:y="208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公司实际控制人、股东、关联方、收购人以及公司等承诺相关方在报告期内或持续到报告期内的承诺事项</w:t>
      </w:r>
    </w:p>
    <w:p>
      <w:pPr>
        <w:framePr w:w="1817" w:x="1524" w:y="24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68" w:x="14436" w:y="2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如未能及</w:t>
      </w:r>
      <w:r>
        <w:rPr>
          <w:rFonts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如未能</w:t>
      </w:r>
    </w:p>
    <w:p>
      <w:pPr>
        <w:framePr w:w="1968" w:x="14436" w:y="271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时履行应</w:t>
      </w:r>
      <w:r>
        <w:rPr>
          <w:rFonts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及时履</w:t>
      </w:r>
    </w:p>
    <w:p>
      <w:pPr>
        <w:framePr w:w="1968" w:x="14436" w:y="271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说明未完</w:t>
      </w:r>
      <w:r>
        <w:rPr>
          <w:rFonts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行应说</w:t>
      </w:r>
    </w:p>
    <w:p>
      <w:pPr>
        <w:framePr w:w="1968" w:x="14436" w:y="271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成履行的</w:t>
      </w:r>
      <w:r>
        <w:rPr>
          <w:rFonts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明下一</w:t>
      </w:r>
    </w:p>
    <w:p>
      <w:pPr>
        <w:framePr w:w="1968" w:x="14436" w:y="2714"/>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具体原因</w:t>
      </w:r>
      <w:r>
        <w:rPr>
          <w:rFonts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步计划</w:t>
      </w:r>
    </w:p>
    <w:p>
      <w:pPr>
        <w:framePr w:w="1370" w:x="13015" w:y="28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w:t>
      </w:r>
    </w:p>
    <w:p>
      <w:pPr>
        <w:framePr w:w="662" w:x="2804" w:y="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w:t>
      </w:r>
    </w:p>
    <w:p>
      <w:pPr>
        <w:framePr w:w="662" w:x="2804" w:y="312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类型</w:t>
      </w:r>
    </w:p>
    <w:p>
      <w:pPr>
        <w:framePr w:w="662" w:x="7907" w:y="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w:t>
      </w:r>
    </w:p>
    <w:p>
      <w:pPr>
        <w:framePr w:w="662" w:x="7907" w:y="312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内容</w:t>
      </w:r>
    </w:p>
    <w:p>
      <w:pPr>
        <w:framePr w:w="2681" w:x="11704" w:y="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承诺时间及</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有履</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及时</w:t>
      </w:r>
    </w:p>
    <w:p>
      <w:pPr>
        <w:framePr w:w="1085" w:x="1176" w:y="32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承诺背景</w:t>
      </w:r>
    </w:p>
    <w:p>
      <w:pPr>
        <w:framePr w:w="874" w:x="3692" w:y="32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承诺方</w:t>
      </w:r>
    </w:p>
    <w:p>
      <w:pPr>
        <w:framePr w:w="662" w:x="12021"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期限</w:t>
      </w:r>
    </w:p>
    <w:p>
      <w:pPr>
        <w:framePr w:w="1370" w:x="13015"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行期</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严格</w:t>
      </w:r>
    </w:p>
    <w:p>
      <w:pPr>
        <w:framePr w:w="451" w:x="13118" w:y="36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w:t>
      </w:r>
    </w:p>
    <w:p>
      <w:pPr>
        <w:framePr w:w="662" w:x="13723" w:y="36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履行</w:t>
      </w:r>
    </w:p>
    <w:p>
      <w:pPr>
        <w:framePr w:w="1930" w:x="641" w:y="4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与股改相关的承诺</w:t>
      </w:r>
    </w:p>
    <w:p>
      <w:pPr>
        <w:framePr w:w="2141" w:x="641" w:y="46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收购报告书或权益变</w:t>
      </w:r>
    </w:p>
    <w:p>
      <w:pPr>
        <w:framePr w:w="2141" w:x="641" w:y="469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动报告书中所作承诺</w:t>
      </w:r>
    </w:p>
    <w:p>
      <w:pPr>
        <w:framePr w:w="2141" w:x="641" w:y="5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与重大资产重组相关</w:t>
      </w:r>
    </w:p>
    <w:p>
      <w:pPr>
        <w:framePr w:w="2141" w:x="641" w:y="529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10226" w:x="2768" w:y="5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王现全、孙</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自发行人股票上市之日起三十六个月内，不转让或委托他人管理本次发行</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2017.5.11-</w:t>
      </w:r>
    </w:p>
    <w:p>
      <w:pPr>
        <w:framePr w:w="451" w:x="12979" w:y="5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5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5849"/>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5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4397" w:y="5849"/>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5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5849"/>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59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598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8322" w:x="2768" w:y="61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利娟、王现</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前其直接或间接持有的发行人股份，也不由发行人回购该部分股份</w:t>
      </w:r>
    </w:p>
    <w:p>
      <w:pPr>
        <w:framePr w:w="8322" w:x="2768" w:y="6120"/>
        <w:widowControl w:val="0"/>
        <w:autoSpaceDE w:val="0"/>
        <w:autoSpaceDN w:val="0"/>
        <w:spacing w:before="63" w:line="211" w:lineRule="exact"/>
        <w:ind w:left="70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国、侯万富</w:t>
      </w:r>
    </w:p>
    <w:p>
      <w:pPr>
        <w:framePr w:w="1190" w:x="11699" w:y="61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2020.5.10</w:t>
      </w:r>
    </w:p>
    <w:p>
      <w:pPr>
        <w:framePr w:w="1582" w:x="2768" w:y="66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w:t>
      </w:r>
    </w:p>
    <w:p>
      <w:pPr>
        <w:framePr w:w="1582" w:x="2768" w:y="66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w:t>
      </w:r>
    </w:p>
    <w:p>
      <w:pPr>
        <w:framePr w:w="8241" w:x="4752" w:y="6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在本人持有的公司本次发行上市前已经发行股份的锁定期限届满后</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2020.5.11-</w:t>
      </w:r>
    </w:p>
    <w:p>
      <w:pPr>
        <w:framePr w:w="451" w:x="12979" w:y="66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135" w:x="4752" w:y="6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内，本人将严格按照法律、法规的要求减持所持有股份，每年减持股份的</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2022.5.10</w:t>
      </w:r>
    </w:p>
    <w:p>
      <w:pPr>
        <w:framePr w:w="8135" w:x="4752" w:y="694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数量不超过本人减持当年年初持有的公司股份总数的</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，股份减持价格</w:t>
      </w:r>
    </w:p>
    <w:p>
      <w:pPr>
        <w:framePr w:w="8135" w:x="4752" w:y="694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将不低于本次发行并上市时公司股票的发行价格。前述本人关于减持价格</w:t>
      </w:r>
    </w:p>
    <w:p>
      <w:pPr>
        <w:framePr w:w="8135" w:x="4752" w:y="694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的承诺在本人离职或职务变更后仍然有效，不因本人离职或职务变更而拒</w:t>
      </w:r>
    </w:p>
    <w:p>
      <w:pPr>
        <w:framePr w:w="8135" w:x="4752" w:y="694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绝履行有关义务。</w:t>
      </w:r>
    </w:p>
    <w:p>
      <w:pPr>
        <w:framePr w:w="2141" w:x="641" w:y="72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72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1582" w:x="2768" w:y="8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陈绪潇</w:t>
      </w:r>
    </w:p>
    <w:p>
      <w:pPr>
        <w:framePr w:w="1582" w:x="2768" w:y="83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w:t>
      </w:r>
    </w:p>
    <w:p>
      <w:pPr>
        <w:framePr w:w="8241" w:x="4752" w:y="83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本人在所持有公司本次发行上市前已经发行股份的锁定期满后两年内，将</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2018.5.11-</w:t>
      </w:r>
    </w:p>
    <w:p>
      <w:pPr>
        <w:framePr w:w="8241" w:x="4752" w:y="8321"/>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严格按照法律、法规的规定减持所持有股份，不超过本人减持当年年初持</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2020.5.10</w:t>
      </w:r>
    </w:p>
    <w:p>
      <w:pPr>
        <w:framePr w:w="8241" w:x="4752" w:y="8321"/>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有的公司股份总数的</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；减持方式包括但不限于通过大宗交易系统、证</w:t>
      </w:r>
    </w:p>
    <w:p>
      <w:pPr>
        <w:framePr w:w="8241" w:x="4752" w:y="83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券交易所集中竞价交易或者协议转让等法律、法规、规章、规范性文件及</w:t>
      </w:r>
    </w:p>
    <w:p>
      <w:pPr>
        <w:framePr w:w="8241" w:x="4752" w:y="83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交易所相关规定所允许的方式；减持价格不低于公司本次发行上市时的发</w:t>
      </w:r>
    </w:p>
    <w:p>
      <w:pPr>
        <w:framePr w:w="8241" w:x="4752" w:y="832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行价格。本项承诺在本人配偶陈鸣宇离职或职务变更后仍然有效，不因陈</w:t>
      </w:r>
    </w:p>
    <w:p>
      <w:pPr>
        <w:framePr w:w="451" w:x="12979" w:y="8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8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8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8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88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886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847" w:x="8156"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058" type="#_x0000_t75" style="width:697.6pt;height:2.7pt;margin-top:53.9pt;margin-left:73.75pt;mso-position-horizontal-relative:page;mso-position-vertical-relative:page;position:absolute;z-index:-251498496">
            <v:imagedata r:id="rId32" o:title=""/>
          </v:shape>
        </w:pict>
      </w:r>
      <w:r>
        <w:rPr>
          <w:noProof/>
        </w:rPr>
        <w:pict>
          <v:shape id="_x0000_s1059" type="#_x0000_t75" style="width:789.45pt;height:365.1pt;margin-top:132.75pt;margin-left:25.3pt;mso-position-horizontal-relative:page;mso-position-vertical-relative:page;position:absolute;z-index:-251642880">
            <v:imagedata r:id="rId33" o:title=""/>
          </v:shape>
        </w:pict>
      </w:r>
    </w:p>
    <w:p>
      <w:pPr>
        <w:spacing w:line="0" w:lineRule="atLeast"/>
        <w:rPr>
          <w:rFonts w:ascii="Arial" w:eastAsiaTheme="minorEastAsia" w:hAnsiTheme="minorHAnsi" w:cstheme="minorBidi"/>
          <w:color w:val="FF0000"/>
          <w:sz w:val="2"/>
          <w:szCs w:val="22"/>
          <w:lang w:val="en-US" w:eastAsia="en-US" w:bidi="ar-SA"/>
        </w:rPr>
      </w:pPr>
      <w:bookmarkStart w:id="16" w:name="br1_15"/>
      <w:bookmarkEnd w:id="16"/>
      <w:r>
        <w:rPr>
          <w:rFonts w:ascii="Arial" w:eastAsiaTheme="minorEastAsia" w:hAnsiTheme="minorHAnsi" w:cstheme="minorBidi"/>
          <w:color w:val="FF0000"/>
          <w:sz w:val="2"/>
          <w:szCs w:val="22"/>
          <w:lang w:val="en-US" w:eastAsia="en-US" w:bidi="ar-SA"/>
        </w:rPr>
        <w:t xml:space="preserve"> </w:t>
      </w:r>
    </w:p>
    <w:p>
      <w:pPr>
        <w:framePr w:w="1730" w:x="7705"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253" w:x="4752"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鸣宇离职或职务变更而拒绝履行有关义务。</w:t>
      </w:r>
    </w:p>
    <w:p>
      <w:pPr>
        <w:framePr w:w="10226" w:x="2768" w:y="15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深圳市松禾</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在所持有公司股份锁定期满后两年内，如无重大股价异常情况的，将严格</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2018.5.11-</w:t>
      </w:r>
    </w:p>
    <w:p>
      <w:pPr>
        <w:framePr w:w="10226" w:x="2768" w:y="1591"/>
        <w:widowControl w:val="0"/>
        <w:autoSpaceDE w:val="0"/>
        <w:autoSpaceDN w:val="0"/>
        <w:spacing w:before="6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成长创业投</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按照法律、法规的规定减持所持有的全部公司股份；减持方式包括但不限</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2020.5.10</w:t>
      </w:r>
    </w:p>
    <w:p>
      <w:pPr>
        <w:framePr w:w="10226" w:x="2768" w:y="1591"/>
        <w:widowControl w:val="0"/>
        <w:autoSpaceDE w:val="0"/>
        <w:autoSpaceDN w:val="0"/>
        <w:spacing w:before="60" w:line="211" w:lineRule="exact"/>
        <w:ind w:left="70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资合伙企业</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于通过大宗交易系统、证券交易所集中竞价交易或者协议转让等法律、法</w:t>
      </w:r>
    </w:p>
    <w:p>
      <w:pPr>
        <w:framePr w:w="451" w:x="12979" w:y="1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1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1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1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20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200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1085" w:x="3476" w:y="2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（有限合</w:t>
      </w:r>
    </w:p>
    <w:p>
      <w:pPr>
        <w:framePr w:w="1085" w:x="3476" w:y="240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伙）</w:t>
      </w:r>
    </w:p>
    <w:p>
      <w:pPr>
        <w:framePr w:w="6998" w:x="4752" w:y="24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规、规章、规范性文件及交易所相关规定所允许的方式；减持价格不低于</w:t>
      </w:r>
    </w:p>
    <w:p>
      <w:pPr>
        <w:framePr w:w="3709" w:x="4752" w:y="26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减持前</w:t>
      </w:r>
      <w:r>
        <w:rPr>
          <w:rFonts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个交易日股票均价的</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90%</w:t>
      </w:r>
      <w:r>
        <w:rPr>
          <w:rFonts w:ascii="SimSun" w:hAnsi="SimSun" w:eastAsiaTheme="minorEastAsia" w:cs="SimSun"/>
          <w:color w:val="000000"/>
          <w:sz w:val="21"/>
          <w:szCs w:val="22"/>
          <w:lang w:val="en-US" w:eastAsia="en-US" w:bidi="ar-SA"/>
        </w:rPr>
        <w:t>。</w:t>
      </w:r>
    </w:p>
    <w:p>
      <w:pPr>
        <w:framePr w:w="9594" w:x="2768" w:y="2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王现全、李</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pacing w:val="-3"/>
          <w:sz w:val="21"/>
          <w:szCs w:val="22"/>
          <w:lang w:val="en-US" w:eastAsia="en-US" w:bidi="ar-SA"/>
        </w:rPr>
        <w:t>在担任公司董事、监事或高级管理人员期间，每年转让发行人股份不超</w:t>
      </w:r>
      <w:r>
        <w:rPr>
          <w:rFonts w:eastAsiaTheme="minorEastAsia" w:hAnsiTheme="minorHAnsi" w:cstheme="minorBidi"/>
          <w:color w:val="000000"/>
          <w:spacing w:val="55"/>
          <w:sz w:val="21"/>
          <w:szCs w:val="22"/>
          <w:lang w:val="en-US" w:eastAsia="en-US" w:bidi="ar-SA"/>
        </w:rPr>
        <w:t xml:space="preserve"> </w:t>
      </w:r>
      <w:r>
        <w:rPr>
          <w:rFonts w:ascii="SimSun" w:hAnsi="SimSun" w:eastAsiaTheme="minorEastAsia" w:cs="SimSun"/>
          <w:color w:val="000000"/>
          <w:sz w:val="21"/>
          <w:szCs w:val="22"/>
          <w:lang w:val="en-US" w:eastAsia="en-US" w:bidi="ar-SA"/>
        </w:rPr>
        <w:t>过</w:t>
      </w:r>
      <w:r>
        <w:rPr>
          <w:rFonts w:eastAsiaTheme="minorEastAsia" w:hAnsiTheme="minorHAnsi" w:cstheme="minorBidi"/>
          <w:color w:val="000000"/>
          <w:spacing w:val="1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9594" w:x="2768" w:y="296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壮、姚长明</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其所持有股份总数的</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pacing w:val="-19"/>
          <w:sz w:val="21"/>
          <w:szCs w:val="22"/>
          <w:lang w:val="en-US" w:eastAsia="en-US" w:bidi="ar-SA"/>
        </w:rPr>
        <w:t>；在离职后</w:t>
      </w:r>
      <w:r>
        <w:rPr>
          <w:rFonts w:eastAsiaTheme="minorEastAsia" w:hAnsiTheme="minorHAnsi" w:cstheme="minorBidi"/>
          <w:color w:val="000000"/>
          <w:spacing w:val="7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个月内不转让其所持有的发行人股</w:t>
      </w:r>
    </w:p>
    <w:p>
      <w:pPr>
        <w:framePr w:w="9594" w:x="2768" w:y="2964"/>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份。</w:t>
      </w:r>
    </w:p>
    <w:p>
      <w:pPr>
        <w:framePr w:w="451" w:x="12979" w:y="2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9" w:y="2964"/>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2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2964"/>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2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4397" w:y="2964"/>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2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2964"/>
        <w:widowControl w:val="0"/>
        <w:autoSpaceDE w:val="0"/>
        <w:autoSpaceDN w:val="0"/>
        <w:spacing w:before="61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31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310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9594" w:x="2768" w:y="37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陈绪潇、贾</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在其亲属担任公司董事、监事或高级管理人员期间，每年转让发行人股份</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11075" w:x="641" w:y="4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r>
        <w:rPr>
          <w:rFonts w:eastAsiaTheme="minorEastAsia" w:hAnsiTheme="minorHAnsi" w:cstheme="minorBidi"/>
          <w:color w:val="000000"/>
          <w:spacing w:val="18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限售</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玉玲、孙利</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不超过其所持有股份总数的</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；在其亲属离职后</w:t>
      </w:r>
      <w:r>
        <w:rPr>
          <w:rFonts w:eastAsiaTheme="minorEastAsia" w:hAnsiTheme="minorHAnsi" w:cstheme="minorBidi"/>
          <w:color w:val="000000"/>
          <w:spacing w:val="4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个月内不转让</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其所</w:t>
      </w:r>
    </w:p>
    <w:p>
      <w:pPr>
        <w:framePr w:w="874" w:x="641" w:y="4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3411" w:x="3476" w:y="4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5"/>
          <w:sz w:val="21"/>
          <w:szCs w:val="22"/>
          <w:lang w:val="en-US" w:eastAsia="en-US" w:bidi="ar-SA"/>
        </w:rPr>
        <w:t>娟、王现国、</w:t>
      </w:r>
      <w:r>
        <w:rPr>
          <w:rFonts w:eastAsiaTheme="minorEastAsia" w:hAnsiTheme="minorHAnsi" w:cstheme="minorBidi"/>
          <w:color w:val="000000"/>
          <w:spacing w:val="69"/>
          <w:sz w:val="21"/>
          <w:szCs w:val="22"/>
          <w:lang w:val="en-US" w:eastAsia="en-US" w:bidi="ar-SA"/>
        </w:rPr>
        <w:t xml:space="preserve"> </w:t>
      </w:r>
      <w:r>
        <w:rPr>
          <w:rFonts w:ascii="SimSun" w:hAnsi="SimSun" w:eastAsiaTheme="minorEastAsia" w:cs="SimSun"/>
          <w:color w:val="000000"/>
          <w:sz w:val="21"/>
          <w:szCs w:val="22"/>
          <w:lang w:val="en-US" w:eastAsia="en-US" w:bidi="ar-SA"/>
        </w:rPr>
        <w:t>持有的发行人股份。</w:t>
      </w:r>
    </w:p>
    <w:p>
      <w:pPr>
        <w:framePr w:w="874" w:x="3476" w:y="46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侯万富</w:t>
      </w:r>
    </w:p>
    <w:p>
      <w:pPr>
        <w:framePr w:w="10226" w:x="2768" w:y="48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王现全、孙</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所持发行人股票在锁定期满后两年内减持的，其减持价格不低于发行价。</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2020.5.11-</w:t>
      </w:r>
    </w:p>
    <w:p>
      <w:pPr>
        <w:framePr w:w="10226" w:x="2768" w:y="4891"/>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利娟、陈绪</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（在公司上市后至上述期间，公司发生派发股利、送红股、转增股本、增</w:t>
      </w:r>
      <w:r>
        <w:rPr>
          <w:rFonts w:eastAsiaTheme="minorEastAsia" w:hAnsiTheme="minorHAnsi" w:cstheme="minorBidi"/>
          <w:color w:val="000000"/>
          <w:spacing w:val="16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2022.5.10</w:t>
      </w:r>
    </w:p>
    <w:p>
      <w:pPr>
        <w:framePr w:w="10226" w:x="2768" w:y="4891"/>
        <w:widowControl w:val="0"/>
        <w:autoSpaceDE w:val="0"/>
        <w:autoSpaceDN w:val="0"/>
        <w:spacing w:before="62" w:line="211" w:lineRule="exact"/>
        <w:ind w:left="70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潇、贾玉玲</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发新股或配股等除息、除权行为，上述发行价格亦将作相应调整）</w:t>
      </w:r>
    </w:p>
    <w:p>
      <w:pPr>
        <w:framePr w:w="451" w:x="12979" w:y="4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2979" w:y="4891"/>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4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4891"/>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4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4397" w:y="4891"/>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4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4891"/>
        <w:widowControl w:val="0"/>
        <w:autoSpaceDE w:val="0"/>
        <w:autoSpaceDN w:val="0"/>
        <w:spacing w:before="61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50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502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1370" w:x="2768" w:y="5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w:t>
      </w:r>
    </w:p>
    <w:p>
      <w:pPr>
        <w:framePr w:w="7609" w:x="4752" w:y="5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、如中国证监会等主管监管部门认定本公司招股说明书有虚假记载、误导</w:t>
      </w:r>
      <w:r>
        <w:rPr>
          <w:rFonts w:eastAsiaTheme="minorEastAsia" w:hAnsiTheme="minorHAnsi" w:cstheme="minorBidi"/>
          <w:color w:val="000000"/>
          <w:spacing w:val="16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7609" w:x="4752" w:y="57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性陈述或重大遗漏，对判断本公司是否符合法律规定的发行条件构成重大、</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实质影响的，发行人将依法回购首次公开发行的全部新股，回购价格为发</w:t>
      </w:r>
    </w:p>
    <w:p>
      <w:pPr>
        <w:framePr w:w="7609" w:x="4752" w:y="5717"/>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行价（本次发行上市后如因资本公积转增股本、派送股票或现金股利、股</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份拆细、配股或缩股等除权、除息事项的，须按照中国证监会、上交所的</w:t>
      </w:r>
    </w:p>
    <w:p>
      <w:pPr>
        <w:framePr w:w="7609" w:x="4752" w:y="57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有关规定作复权处理，下同）加算银行同期存款利息。</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3"/>
          <w:sz w:val="21"/>
          <w:szCs w:val="22"/>
          <w:lang w:val="en-US" w:eastAsia="en-US" w:bidi="ar-SA"/>
        </w:rPr>
        <w:t>、如中国证监会等</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主管监管部门认定本公司招股说明书存在虚假记载、误导性陈述或重大遗</w:t>
      </w:r>
    </w:p>
    <w:p>
      <w:pPr>
        <w:framePr w:w="7609" w:x="4752" w:y="57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漏，致使投资者在证券交易中遭受损失的，将依照相关法律、法规规定承</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担民事赔偿责任，赔偿投资者损失。该等损失的赔偿金额以投资者实际发</w:t>
      </w:r>
    </w:p>
    <w:p>
      <w:pPr>
        <w:framePr w:w="7609" w:x="4752" w:y="57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生的直接损失为限，包括投资差额损失、投资差额损失部分的佣金和印花</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税以及资金利息。</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2"/>
          <w:sz w:val="21"/>
          <w:szCs w:val="22"/>
          <w:lang w:val="en-US" w:eastAsia="en-US" w:bidi="ar-SA"/>
        </w:rPr>
        <w:t>、发行人将在取得中国证监会等主管监管部门的最终认</w:t>
      </w:r>
    </w:p>
    <w:p>
      <w:pPr>
        <w:framePr w:w="7609" w:x="4752" w:y="57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定结果发布之日起</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4"/>
          <w:sz w:val="21"/>
          <w:szCs w:val="22"/>
          <w:lang w:val="en-US" w:eastAsia="en-US" w:bidi="ar-SA"/>
        </w:rPr>
        <w:t>个交易日内，按照章程规定启动董事会、股东大会相</w:t>
      </w:r>
    </w:p>
    <w:p>
      <w:pPr>
        <w:framePr w:w="7609" w:x="4752" w:y="5717"/>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关程序，股东大会审议通过后</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pacing w:val="-1"/>
          <w:sz w:val="21"/>
          <w:szCs w:val="22"/>
          <w:lang w:val="en-US" w:eastAsia="en-US" w:bidi="ar-SA"/>
        </w:rPr>
        <w:t>个交易日内实施上述回购及赔偿措施。</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控股股东有义务督促公司履行上述回购及赔偿义务。若因控股股东原因导</w:t>
      </w:r>
    </w:p>
    <w:p>
      <w:pPr>
        <w:framePr w:w="7609" w:x="4752" w:y="571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致发行人未履行上述回购及赔偿义务的，本公司应当扣留全部应付给控股</w:t>
      </w:r>
    </w:p>
    <w:p>
      <w:pPr>
        <w:framePr w:w="7609" w:x="4752" w:y="57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股东的现金红利、股份红利、任职薪酬。</w:t>
      </w:r>
    </w:p>
    <w:p>
      <w:pPr>
        <w:framePr w:w="2141" w:x="641" w:y="76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762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847" w:x="8156"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060" type="#_x0000_t75" style="width:697.6pt;height:2.7pt;margin-top:53.9pt;margin-left:73.75pt;mso-position-horizontal-relative:page;mso-position-vertical-relative:page;position:absolute;z-index:-251497472">
            <v:imagedata r:id="rId34" o:title=""/>
          </v:shape>
        </w:pict>
      </w:r>
      <w:r>
        <w:rPr>
          <w:noProof/>
        </w:rPr>
        <w:pict>
          <v:shape id="_x0000_s1061" type="#_x0000_t75" style="width:789.45pt;height:441.3pt;margin-top:62.5pt;margin-left:25.3pt;mso-position-horizontal-relative:page;mso-position-vertical-relative:page;position:absolute;z-index:-251641856">
            <v:imagedata r:id="rId35" o:title=""/>
          </v:shape>
        </w:pict>
      </w:r>
    </w:p>
    <w:p>
      <w:pPr>
        <w:spacing w:line="0" w:lineRule="atLeast"/>
        <w:rPr>
          <w:rFonts w:ascii="Arial" w:eastAsiaTheme="minorEastAsia" w:hAnsiTheme="minorHAnsi" w:cstheme="minorBidi"/>
          <w:color w:val="FF0000"/>
          <w:sz w:val="2"/>
          <w:szCs w:val="22"/>
          <w:lang w:val="en-US" w:eastAsia="en-US" w:bidi="ar-SA"/>
        </w:rPr>
      </w:pPr>
      <w:bookmarkStart w:id="17" w:name="br1_16"/>
      <w:bookmarkEnd w:id="17"/>
      <w:r>
        <w:rPr>
          <w:rFonts w:ascii="Arial" w:eastAsiaTheme="minorEastAsia" w:hAnsiTheme="minorHAnsi" w:cstheme="minorBidi"/>
          <w:color w:val="FF0000"/>
          <w:sz w:val="2"/>
          <w:szCs w:val="22"/>
          <w:lang w:val="en-US" w:eastAsia="en-US" w:bidi="ar-SA"/>
        </w:rPr>
        <w:t xml:space="preserve"> </w:t>
      </w:r>
    </w:p>
    <w:p>
      <w:pPr>
        <w:framePr w:w="1730" w:x="7705"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582" w:x="2768"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w:t>
      </w:r>
    </w:p>
    <w:p>
      <w:pPr>
        <w:framePr w:w="7609" w:x="4752"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、如中国证监会等主管监管部门认定公司招股说明书有虚假记载、误导性</w:t>
      </w:r>
      <w:r>
        <w:rPr>
          <w:rFonts w:eastAsiaTheme="minorEastAsia" w:hAnsiTheme="minorHAnsi" w:cstheme="minorBidi"/>
          <w:color w:val="000000"/>
          <w:spacing w:val="16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陈述或重大遗漏，对判断公司是否符合法律规定的发行条件构成重大、实</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质影响的，控股股东、实际控制人王现全将依法购回已转让的原限售股份，</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购回价格为发行价（公司本次发行上市后如因资本公积转增股本、派送股</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票或现金股利、股份拆细、配股或缩股等除权、除息事项的，须按照中国</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证券监督管理委员会、证券交易所的有关规定作复权处理）加算银行同期</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存款利息。</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、如中国证监会等主管监管部门认定公司招股说明书存在虚假</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记载、误导性陈述或重大遗漏，致使投资者在证券交易中遭受损失的，控</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股股东、实际控制人王现全将依照相关法律、法规规定承担民事赔偿责任，</w:t>
      </w:r>
    </w:p>
    <w:p>
      <w:pPr>
        <w:framePr w:w="7609" w:x="4752" w:y="1310"/>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赔偿投资者损失。该等损失的赔偿金额以投资者实际发生的直接损失为限，</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包括投资差额损失、投资差额损失部分的佣金和印花税以及资金利息。具</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体赔偿方案，包括赔偿标准、赔偿主体范围、赔偿金额等细节内容待上述</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情形实际发生时，依据最终确定的赔偿方案为准。</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5"/>
          <w:sz w:val="21"/>
          <w:szCs w:val="22"/>
          <w:lang w:val="en-US" w:eastAsia="en-US" w:bidi="ar-SA"/>
        </w:rPr>
        <w:t>、控股股东、实际控制</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人王现全承诺将督促公司履行回购新股和赔偿义务，具体措施包括但不限</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于提议董事会审议上述回购相关股份的议案、因上述事宜审议回购公司股</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份议案时在相关的董事会或股东大会中投赞成票等。</w:t>
      </w: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7"/>
          <w:sz w:val="21"/>
          <w:szCs w:val="22"/>
          <w:lang w:val="en-US" w:eastAsia="en-US" w:bidi="ar-SA"/>
        </w:rPr>
        <w:t>、如控股股东、实际</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控制人王现全未履行回购存量股或赔偿义务，或因王现全原因导致公司未</w:t>
      </w:r>
    </w:p>
    <w:p>
      <w:pPr>
        <w:framePr w:w="7609"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履行上述回购及赔偿义务的，王现全承诺不转让本人所持有的公司股份，</w:t>
      </w:r>
    </w:p>
    <w:p>
      <w:pPr>
        <w:framePr w:w="7609"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且公司有权扣留全部应付给王现全的现金红利、股份红利、任职薪酬，直</w:t>
      </w:r>
    </w:p>
    <w:p>
      <w:pPr>
        <w:framePr w:w="7609" w:x="4752" w:y="1310"/>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至本人实际履行上述各项承诺的义务为止。</w:t>
      </w:r>
    </w:p>
    <w:p>
      <w:pPr>
        <w:framePr w:w="451" w:x="12979"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37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37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9594" w:x="2768" w:y="6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除王现全外</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如中国证监会等主管监管部门认定公司招股说明书存在虚假记载、误导性</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9594" w:x="2768" w:y="6769"/>
        <w:widowControl w:val="0"/>
        <w:autoSpaceDE w:val="0"/>
        <w:autoSpaceDN w:val="0"/>
        <w:spacing w:before="60" w:line="211" w:lineRule="exact"/>
        <w:ind w:left="70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的其他董</w:t>
      </w:r>
      <w:r>
        <w:rPr>
          <w:rFonts w:eastAsiaTheme="minorEastAsia" w:hAnsiTheme="minorHAnsi" w:cstheme="minorBidi"/>
          <w:color w:val="000000"/>
          <w:spacing w:val="383"/>
          <w:sz w:val="21"/>
          <w:szCs w:val="22"/>
          <w:lang w:val="en-US" w:eastAsia="en-US" w:bidi="ar-SA"/>
        </w:rPr>
        <w:t xml:space="preserve"> </w:t>
      </w:r>
      <w:r>
        <w:rPr>
          <w:rFonts w:ascii="SimSun" w:hAnsi="SimSun" w:eastAsiaTheme="minorEastAsia" w:cs="SimSun"/>
          <w:color w:val="000000"/>
          <w:spacing w:val="-3"/>
          <w:sz w:val="21"/>
          <w:szCs w:val="22"/>
          <w:lang w:val="en-US" w:eastAsia="en-US" w:bidi="ar-SA"/>
        </w:rPr>
        <w:t>陈述或重大遗漏，致使投资者在证券交易中遭受损失的，将依照相关法律、</w:t>
      </w:r>
    </w:p>
    <w:p>
      <w:pPr>
        <w:framePr w:w="451" w:x="12979" w:y="6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6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6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6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243" w:x="3476" w:y="73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事、监事、</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法规规定承担民事赔偿责任，赔偿投资者损失。该等损失的赔偿金额以投</w:t>
      </w:r>
    </w:p>
    <w:p>
      <w:pPr>
        <w:framePr w:w="8243" w:x="3476" w:y="731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高级管理人</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资者实际发生的直接损失为限，包括投资差额损失、投资差额损失部分的</w:t>
      </w:r>
    </w:p>
    <w:p>
      <w:pPr>
        <w:framePr w:w="2141" w:x="641" w:y="7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785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451" w:x="3476" w:y="7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员</w:t>
      </w:r>
    </w:p>
    <w:p>
      <w:pPr>
        <w:framePr w:w="6998" w:x="4752" w:y="78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佣金和印花税以及资金利息。具体赔偿方案，包括赔偿标准、赔偿主体范</w:t>
      </w:r>
    </w:p>
    <w:p>
      <w:pPr>
        <w:framePr w:w="6998" w:x="4752" w:y="785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围、赔偿金额等细节内容待上述情形实际发生时，依据最终确定的赔偿方</w:t>
      </w:r>
    </w:p>
    <w:p>
      <w:pPr>
        <w:framePr w:w="6998" w:x="4752" w:y="785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案为准。如上述董事、监事、高级管理人员未履行赔偿义务，则该等人员</w:t>
      </w:r>
    </w:p>
    <w:p>
      <w:pPr>
        <w:framePr w:w="6998" w:x="4752" w:y="785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或其配偶不得转让其所持有的公司股份，且公司有权扣留全部应付给该等</w:t>
      </w:r>
    </w:p>
    <w:p>
      <w:pPr>
        <w:framePr w:w="6998" w:x="4752" w:y="7856"/>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人员或其配偶的现金红利、股份红利、任职薪酬，直至该等人员实际履行</w:t>
      </w:r>
    </w:p>
    <w:p>
      <w:pPr>
        <w:framePr w:w="6998" w:x="4752" w:y="785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上述各项承诺的义务为止。</w:t>
      </w:r>
    </w:p>
    <w:p>
      <w:pPr>
        <w:framePr w:w="11721" w:x="641" w:y="9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r>
        <w:rPr>
          <w:rFonts w:eastAsiaTheme="minorEastAsia" w:hAnsiTheme="minorHAnsi" w:cstheme="minorBidi"/>
          <w:color w:val="000000"/>
          <w:spacing w:val="18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公司董事、</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公司董事、高级管理人员对公司填补即期回报措施能够得到切实履行作出</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w:t>
      </w:r>
    </w:p>
    <w:p>
      <w:pPr>
        <w:framePr w:w="451" w:x="12979" w:y="9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9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9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9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641" w:y="97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8346" w:x="3476" w:y="97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高级管理人</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如下承诺：</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、承诺不无偿或以不公平条件向其他单位或者个人输送利益，</w:t>
      </w:r>
    </w:p>
    <w:p>
      <w:pPr>
        <w:framePr w:w="847" w:x="8156"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062" type="#_x0000_t75" style="width:697.6pt;height:2.7pt;margin-top:53.9pt;margin-left:73.75pt;mso-position-horizontal-relative:page;mso-position-vertical-relative:page;position:absolute;z-index:-251496448">
            <v:imagedata r:id="rId36" o:title=""/>
          </v:shape>
        </w:pict>
      </w:r>
      <w:r>
        <w:rPr>
          <w:noProof/>
        </w:rPr>
        <w:pict>
          <v:shape id="_x0000_s1063" type="#_x0000_t75" style="width:789.45pt;height:439.85pt;margin-top:62.5pt;margin-left:25.3pt;mso-position-horizontal-relative:page;mso-position-vertical-relative:page;position:absolute;z-index:-251640832">
            <v:imagedata r:id="rId37" o:title=""/>
          </v:shape>
        </w:pict>
      </w:r>
    </w:p>
    <w:p>
      <w:pPr>
        <w:spacing w:line="0" w:lineRule="atLeast"/>
        <w:rPr>
          <w:rFonts w:ascii="Arial" w:eastAsiaTheme="minorEastAsia" w:hAnsiTheme="minorHAnsi" w:cstheme="minorBidi"/>
          <w:color w:val="FF0000"/>
          <w:sz w:val="2"/>
          <w:szCs w:val="22"/>
          <w:lang w:val="en-US" w:eastAsia="en-US" w:bidi="ar-SA"/>
        </w:rPr>
      </w:pPr>
      <w:bookmarkStart w:id="18" w:name="br1_17"/>
      <w:bookmarkEnd w:id="18"/>
      <w:r>
        <w:rPr>
          <w:rFonts w:ascii="Arial" w:eastAsiaTheme="minorEastAsia" w:hAnsiTheme="minorHAnsi" w:cstheme="minorBidi"/>
          <w:color w:val="FF0000"/>
          <w:sz w:val="2"/>
          <w:szCs w:val="22"/>
          <w:lang w:val="en-US" w:eastAsia="en-US" w:bidi="ar-SA"/>
        </w:rPr>
        <w:t xml:space="preserve"> </w:t>
      </w:r>
    </w:p>
    <w:p>
      <w:pPr>
        <w:framePr w:w="1730" w:x="7705"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7315" w:x="4752"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也不采用其他方式损害公司利益。</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6"/>
          <w:sz w:val="21"/>
          <w:szCs w:val="22"/>
          <w:lang w:val="en-US" w:eastAsia="en-US" w:bidi="ar-SA"/>
        </w:rPr>
        <w:t>、承诺对本人的职务消费行为进行约束。</w:t>
      </w:r>
    </w:p>
    <w:p>
      <w:pPr>
        <w:framePr w:w="7315"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、承诺不动用公司资产从事与本人履行职责无关的投资、消费活动。</w:t>
      </w: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z w:val="21"/>
          <w:szCs w:val="22"/>
          <w:lang w:val="en-US" w:eastAsia="en-US" w:bidi="ar-SA"/>
        </w:rPr>
        <w:t>、</w:t>
      </w:r>
    </w:p>
    <w:p>
      <w:pPr>
        <w:framePr w:w="7315"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承诺由董事会或薪酬委员会制定的薪酬制度与公司填补回报措施的执行情</w:t>
      </w:r>
    </w:p>
    <w:p>
      <w:pPr>
        <w:framePr w:w="7315"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况相挂钩。</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2"/>
          <w:sz w:val="21"/>
          <w:szCs w:val="22"/>
          <w:lang w:val="en-US" w:eastAsia="en-US" w:bidi="ar-SA"/>
        </w:rPr>
        <w:t>、承诺未来拟实施的公司股权激励的行权条件与公司填补回报</w:t>
      </w:r>
    </w:p>
    <w:p>
      <w:pPr>
        <w:framePr w:w="7315"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措施的执行情况相挂钩。</w:t>
      </w: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z w:val="21"/>
          <w:szCs w:val="22"/>
          <w:lang w:val="en-US" w:eastAsia="en-US" w:bidi="ar-SA"/>
        </w:rPr>
        <w:t>、本承诺出具日后至公司本次发行实施完毕前，</w:t>
      </w:r>
    </w:p>
    <w:p>
      <w:pPr>
        <w:framePr w:w="7315"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若中国证监会作出关于填补回报措施及其承诺的其他新的监管规定的，且</w:t>
      </w:r>
    </w:p>
    <w:p>
      <w:pPr>
        <w:framePr w:w="7315"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上述承诺不能满足中国证监会该等规定时，本人承诺届时将按照中国证监</w:t>
      </w:r>
    </w:p>
    <w:p>
      <w:pPr>
        <w:framePr w:w="7315"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会的最新规定出具补充承诺。</w:t>
      </w:r>
      <w:r>
        <w:rPr>
          <w:rFonts w:ascii="SimSun" w:eastAsiaTheme="minorEastAsia" w:hAnsiTheme="minorHAnsi" w:cstheme="minorBidi"/>
          <w:color w:val="000000"/>
          <w:spacing w:val="-2"/>
          <w:sz w:val="21"/>
          <w:szCs w:val="22"/>
          <w:lang w:val="en-US" w:eastAsia="en-US" w:bidi="ar-SA"/>
        </w:rPr>
        <w:t>7</w:t>
      </w:r>
      <w:r>
        <w:rPr>
          <w:rFonts w:ascii="SimSun" w:hAnsi="SimSun" w:eastAsiaTheme="minorEastAsia" w:cs="SimSun"/>
          <w:color w:val="000000"/>
          <w:spacing w:val="-2"/>
          <w:sz w:val="21"/>
          <w:szCs w:val="22"/>
          <w:lang w:val="en-US" w:eastAsia="en-US" w:bidi="ar-SA"/>
        </w:rPr>
        <w:t>、本人承诺切实履行公司制定的有关填补回</w:t>
      </w:r>
    </w:p>
    <w:p>
      <w:pPr>
        <w:framePr w:w="7315"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报措施以及本人对此作出的任何有关填补回报措施的承诺，若本人违反该</w:t>
      </w:r>
    </w:p>
    <w:p>
      <w:pPr>
        <w:framePr w:w="7315" w:x="4752" w:y="1310"/>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等承诺并给公司或者投资者造成损失的，本人愿意依法承担对公司或者投</w:t>
      </w:r>
    </w:p>
    <w:p>
      <w:pPr>
        <w:framePr w:w="7315"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资者的补偿责任。</w:t>
      </w:r>
    </w:p>
    <w:p>
      <w:pPr>
        <w:framePr w:w="10226" w:x="2768" w:y="4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解决</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王现全、孙</w:t>
      </w:r>
      <w:r>
        <w:rPr>
          <w:rFonts w:eastAsiaTheme="minorEastAsia" w:hAnsiTheme="minorHAnsi" w:cstheme="minorBidi"/>
          <w:color w:val="000000"/>
          <w:spacing w:val="17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、除发行人外，本人尚不存在由本人控制的其他企业。今后亦不会直接或</w:t>
      </w:r>
      <w:r>
        <w:rPr>
          <w:rFonts w:eastAsiaTheme="minorEastAsia" w:hAnsiTheme="minorHAnsi" w:cstheme="minorBidi"/>
          <w:color w:val="000000"/>
          <w:spacing w:val="1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作为公司控</w:t>
      </w:r>
    </w:p>
    <w:p>
      <w:pPr>
        <w:framePr w:w="10226" w:x="2768" w:y="431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同业</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利娟、陈绪</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间接地以任何方式（包括但不限于独资、合资、合作和联营）通过本人控</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股股东及实</w:t>
      </w:r>
    </w:p>
    <w:p>
      <w:pPr>
        <w:framePr w:w="10226" w:x="2768" w:y="431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竞争</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潇、陈鸣宇</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制的其他企业或该企业的下属企业从事与发行人及其下属企业所从事的业</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际控制人期</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务有实质性竞争或可能有实质性竞争的业务活动。</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5"/>
          <w:sz w:val="21"/>
          <w:szCs w:val="22"/>
          <w:lang w:val="en-US" w:eastAsia="en-US" w:bidi="ar-SA"/>
        </w:rPr>
        <w:t>、如果未来本人控制的</w:t>
      </w:r>
      <w:r>
        <w:rPr>
          <w:rFonts w:eastAsiaTheme="minorEastAsia" w:hAnsiTheme="minorHAnsi" w:cstheme="minorBidi"/>
          <w:color w:val="000000"/>
          <w:spacing w:val="16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间及自承诺</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其他企业及该企业控制的下属企业所从事的业务或所生产的产品与发行人</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人不再为公</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及其下属企业构成竞争关系，本人承诺发行人有权按照自身情况和意愿，</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司控股股东</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采用必要的措施解决同业竞争情形，该等措施包括但不限于：收购本人控</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之日起三年</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制的其他企业及该企业直接或间接控制的存在同业竞争的企业的股权、资</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内。</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产；要求本人控制的其他企业及该企业的下属企业在限定的时间内将构成</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同业竞争业务的股权、资产转让给无关联的第三方；如果本人控制的其他</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企业及该企业控制的下属企业在现有的资产范围外获得了新的与发行人及</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其下属企业的主营业务存在竞争的资产、股权或业务机会，本人控制的其</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他企业及该企业的下属企业将授予发行人及其下属企业对该等资产、股权</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的优先购买权及对该等业务机会的优先参与权，发行人及其下属企业有权</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随时根据业务经营发展的需要行使该优先权。</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5"/>
          <w:sz w:val="21"/>
          <w:szCs w:val="22"/>
          <w:lang w:val="en-US" w:eastAsia="en-US" w:bidi="ar-SA"/>
        </w:rPr>
        <w:t>、本人、本人未来可能控制</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的其他企业及该企业的下属企业不会向业务与发行人及其下属企业（含直</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接或间接控制的企业）所从事的业务构成竞争的其他公司、企业或其他机</w:t>
      </w:r>
    </w:p>
    <w:p>
      <w:pPr>
        <w:framePr w:w="10226" w:x="2768" w:y="4316"/>
        <w:widowControl w:val="0"/>
        <w:autoSpaceDE w:val="0"/>
        <w:autoSpaceDN w:val="0"/>
        <w:spacing w:before="61"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构、组织、个人提供与该等竞争业务相关的专有技术、商标等知识产权或</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提供销售渠道、客户信息等商业秘密。</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、本人保证不利用本人所持有的发</w:t>
      </w:r>
    </w:p>
    <w:p>
      <w:pPr>
        <w:framePr w:w="10226" w:x="2768" w:y="4316"/>
        <w:widowControl w:val="0"/>
        <w:autoSpaceDE w:val="0"/>
        <w:autoSpaceDN w:val="0"/>
        <w:spacing w:before="60"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行人股份，从事或参与从事任何有损于发行人或发行人其他股东合法权益</w:t>
      </w:r>
    </w:p>
    <w:p>
      <w:pPr>
        <w:framePr w:w="10226" w:x="2768" w:y="4316"/>
        <w:widowControl w:val="0"/>
        <w:autoSpaceDE w:val="0"/>
        <w:autoSpaceDN w:val="0"/>
        <w:spacing w:before="62"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的行为。五、如出现因本人、本人未来可能控制的其他企业和</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或本人未来</w:t>
      </w:r>
    </w:p>
    <w:p>
      <w:pPr>
        <w:framePr w:w="451" w:x="12979" w:y="4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451" w:x="13687" w:y="4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w:t>
      </w:r>
    </w:p>
    <w:p>
      <w:pPr>
        <w:framePr w:w="874" w:x="14397" w:y="4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874" w:x="15530" w:y="4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2141" w:x="641" w:y="6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690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847" w:x="8156"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064" type="#_x0000_t75" style="width:697.6pt;height:2.7pt;margin-top:53.9pt;margin-left:73.75pt;mso-position-horizontal-relative:page;mso-position-vertical-relative:page;position:absolute;z-index:-251495424">
            <v:imagedata r:id="rId38" o:title=""/>
          </v:shape>
        </w:pict>
      </w:r>
      <w:r>
        <w:rPr>
          <w:noProof/>
        </w:rPr>
        <w:pict>
          <v:shape id="_x0000_s1065" type="#_x0000_t75" style="width:789.45pt;height:439.25pt;margin-top:62.5pt;margin-left:25.3pt;mso-position-horizontal-relative:page;mso-position-vertical-relative:page;position:absolute;z-index:-251639808">
            <v:imagedata r:id="rId39" o:title=""/>
          </v:shape>
        </w:pict>
      </w:r>
    </w:p>
    <w:p>
      <w:pPr>
        <w:spacing w:line="0" w:lineRule="atLeast"/>
        <w:rPr>
          <w:rFonts w:ascii="Arial" w:eastAsiaTheme="minorEastAsia" w:hAnsiTheme="minorHAnsi" w:cstheme="minorBidi"/>
          <w:color w:val="FF0000"/>
          <w:sz w:val="2"/>
          <w:szCs w:val="22"/>
          <w:lang w:val="en-US" w:eastAsia="en-US" w:bidi="ar-SA"/>
        </w:rPr>
      </w:pPr>
      <w:bookmarkStart w:id="19" w:name="br1_18"/>
      <w:bookmarkEnd w:id="19"/>
      <w:r>
        <w:rPr>
          <w:rFonts w:ascii="Arial" w:eastAsiaTheme="minorEastAsia" w:hAnsiTheme="minorHAnsi" w:cstheme="minorBidi"/>
          <w:color w:val="FF0000"/>
          <w:sz w:val="2"/>
          <w:szCs w:val="22"/>
          <w:lang w:val="en-US" w:eastAsia="en-US" w:bidi="ar-SA"/>
        </w:rPr>
        <w:t xml:space="preserve"> </w:t>
      </w:r>
    </w:p>
    <w:p>
      <w:pPr>
        <w:framePr w:w="1730" w:x="7705"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7104" w:x="4752" w:y="1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可能控制其他企业的下属企业违反上述承诺而导致发行人及其下属企业的</w:t>
      </w:r>
    </w:p>
    <w:p>
      <w:pPr>
        <w:framePr w:w="7104" w:x="4752" w:y="131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权益受到损害的情况，本人、本人控制的其他企业和</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或本人控制其他企业</w:t>
      </w:r>
    </w:p>
    <w:p>
      <w:pPr>
        <w:framePr w:w="7104" w:x="4752" w:y="131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的下属企业将承担相应的赔偿责任。</w:t>
      </w:r>
    </w:p>
    <w:p>
      <w:pPr>
        <w:framePr w:w="2141" w:x="641" w:y="21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与首次公开发行相关</w:t>
      </w:r>
    </w:p>
    <w:p>
      <w:pPr>
        <w:framePr w:w="2141" w:x="641" w:y="2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的承诺</w:t>
      </w:r>
    </w:p>
    <w:p>
      <w:pPr>
        <w:framePr w:w="2141" w:x="641" w:y="2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与再融资相关的承诺</w:t>
      </w:r>
    </w:p>
    <w:p>
      <w:pPr>
        <w:framePr w:w="2141" w:x="641" w:y="32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与股权激励相关的承</w:t>
      </w:r>
    </w:p>
    <w:p>
      <w:pPr>
        <w:framePr w:w="2141" w:x="641" w:y="326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诺</w:t>
      </w:r>
    </w:p>
    <w:p>
      <w:pPr>
        <w:framePr w:w="2141" w:x="641" w:y="38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其他对公司中小股东</w:t>
      </w:r>
    </w:p>
    <w:p>
      <w:pPr>
        <w:framePr w:w="2141" w:x="641" w:y="382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所作承诺</w:t>
      </w:r>
    </w:p>
    <w:p>
      <w:pPr>
        <w:framePr w:w="1085" w:x="641" w:y="43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其他承诺</w:t>
      </w:r>
    </w:p>
    <w:p>
      <w:pPr>
        <w:framePr w:w="1085" w:x="641" w:y="46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其他承诺</w:t>
      </w:r>
    </w:p>
    <w:p>
      <w:pPr>
        <w:framePr w:w="847" w:x="8156"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066" type="#_x0000_t75" style="width:697.6pt;height:2.7pt;margin-top:53.9pt;margin-left:73.75pt;mso-position-horizontal-relative:page;mso-position-vertical-relative:page;position:absolute;z-index:-251494400">
            <v:imagedata r:id="rId40" o:title=""/>
          </v:shape>
        </w:pict>
      </w:r>
      <w:r>
        <w:rPr>
          <w:noProof/>
        </w:rPr>
        <w:pict>
          <v:shape id="_x0000_s1067" type="#_x0000_t75" style="width:789.45pt;height:184.55pt;margin-top:62.5pt;margin-left:25.3pt;mso-position-horizontal-relative:page;mso-position-vertical-relative:page;position:absolute;z-index:-251638784">
            <v:imagedata r:id="rId41" o:title=""/>
          </v:shape>
        </w:pict>
      </w:r>
    </w:p>
    <w:p>
      <w:pPr>
        <w:spacing w:line="0" w:lineRule="atLeast"/>
        <w:rPr>
          <w:rFonts w:ascii="Arial" w:eastAsiaTheme="minorEastAsia" w:hAnsiTheme="minorHAnsi" w:cstheme="minorBidi"/>
          <w:color w:val="FF0000"/>
          <w:sz w:val="2"/>
          <w:szCs w:val="22"/>
          <w:lang w:val="en-US" w:eastAsia="en-US" w:bidi="ar-SA"/>
        </w:rPr>
      </w:pPr>
      <w:bookmarkStart w:id="20" w:name="br1_19"/>
      <w:bookmarkEnd w:id="20"/>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408"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四、聘任、解聘会计师事务所情况</w:t>
      </w:r>
    </w:p>
    <w:p>
      <w:pPr>
        <w:framePr w:w="3619" w:x="1798" w:y="2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聘任、解聘会计师事务所的情况说明</w:t>
      </w:r>
    </w:p>
    <w:p>
      <w:pPr>
        <w:framePr w:w="3619" w:x="1798" w:y="23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3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审计期间改聘会计师事务所的情况说明</w:t>
      </w:r>
    </w:p>
    <w:p>
      <w:pPr>
        <w:framePr w:w="3830" w:x="1798" w:y="32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75" w:x="1798" w:y="42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公司对会计师事务所“非标准审计报告”的说明</w:t>
      </w:r>
    </w:p>
    <w:p>
      <w:pPr>
        <w:framePr w:w="4675" w:x="1798" w:y="424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51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公司对上年年度报告中的财务报告被注册会计师出具“非标准审计报告”的说明</w:t>
      </w:r>
    </w:p>
    <w:p>
      <w:pPr>
        <w:framePr w:w="7632" w:x="1798" w:y="51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6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五、破产重整相关事项</w:t>
      </w:r>
    </w:p>
    <w:p>
      <w:pPr>
        <w:framePr w:w="2354" w:x="1798" w:y="621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72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六、重大诉讼、仲裁事项</w:t>
      </w:r>
    </w:p>
    <w:p>
      <w:pPr>
        <w:framePr w:w="7489" w:x="1798" w:y="7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□本报告期公司有重大诉讼、仲裁事项</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√本报告期公司无重大诉讼、仲裁事项</w:t>
      </w:r>
    </w:p>
    <w:p>
      <w:pPr>
        <w:framePr w:w="9110" w:x="1798" w:y="83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七、上市公司及其董事、监事、高级管理人员、控股股东、实际控制人、收购人处罚及整改情况</w:t>
      </w:r>
    </w:p>
    <w:p>
      <w:pPr>
        <w:framePr w:w="9110" w:x="1798" w:y="8357"/>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942" w:x="1798" w:y="94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八、报告期内公司及其控股股东、实际控制人诚信状况的说明</w:t>
      </w:r>
    </w:p>
    <w:p>
      <w:pPr>
        <w:framePr w:w="1817" w:x="1798" w:y="98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103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公司及其控股股东、实际控制人诚信情况良好，不存在未按期偿还大额债务、未履行承诺或</w:t>
      </w:r>
    </w:p>
    <w:p>
      <w:pPr>
        <w:framePr w:w="9068" w:x="1798" w:y="103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被上交所公开谴责的情形。</w:t>
      </w:r>
    </w:p>
    <w:p>
      <w:pPr>
        <w:framePr w:w="7210" w:x="1798" w:y="111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九、公司股权激励计划、员工持股计划或其他员工激励措施的情况及其影响</w:t>
      </w:r>
    </w:p>
    <w:p>
      <w:pPr>
        <w:framePr w:w="7210" w:x="1798" w:y="11185"/>
        <w:widowControl w:val="0"/>
        <w:autoSpaceDE w:val="0"/>
        <w:autoSpaceDN w:val="0"/>
        <w:spacing w:before="237"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相关股权激励事项已在临时公告披露且后续实施无进展或变化的</w:t>
      </w:r>
    </w:p>
    <w:p>
      <w:pPr>
        <w:framePr w:w="7210" w:x="1798" w:y="11185"/>
        <w:widowControl w:val="0"/>
        <w:autoSpaceDE w:val="0"/>
        <w:autoSpaceDN w:val="0"/>
        <w:spacing w:before="23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03" w:x="1798" w:y="1257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临时公告未披露或有后续进展的激励情况</w:t>
      </w:r>
    </w:p>
    <w:p>
      <w:pPr>
        <w:framePr w:w="1817" w:x="1798" w:y="13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股权激励情况</w:t>
      </w:r>
    </w:p>
    <w:p>
      <w:pPr>
        <w:framePr w:w="1817" w:x="1798" w:y="130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0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42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1798" w:y="14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员工持股计划情况</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68" type="#_x0000_t75" style="width:445.6pt;height:2.7pt;margin-top:53.3pt;margin-left:87.45pt;mso-position-horizontal-relative:page;mso-position-vertical-relative:page;position:absolute;z-index:-25163776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1" w:name="br1_20"/>
      <w:bookmarkEnd w:id="21"/>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1798" w:y="20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其他激励措施</w:t>
      </w:r>
    </w:p>
    <w:p>
      <w:pPr>
        <w:framePr w:w="1817" w:x="1798" w:y="24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30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十、重大关联交易</w:t>
      </w:r>
    </w:p>
    <w:p>
      <w:pPr>
        <w:framePr w:w="3190" w:x="1798" w:y="354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与日常经营相关的关联交易</w:t>
      </w:r>
    </w:p>
    <w:p>
      <w:pPr>
        <w:framePr w:w="5299" w:x="1798" w:y="4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403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4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4968"/>
        <w:widowControl w:val="0"/>
        <w:autoSpaceDE w:val="0"/>
        <w:autoSpaceDN w:val="0"/>
        <w:spacing w:before="2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60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6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69" w:x="1798" w:y="682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资产收购或股权收购、出售发生的关联交易</w:t>
      </w:r>
    </w:p>
    <w:p>
      <w:pPr>
        <w:framePr w:w="5299" w:x="1798" w:y="73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7311"/>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82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8249"/>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9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96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509" w:x="1798" w:y="10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涉及业绩约定的，应当披露报告期内的业绩实现情况</w:t>
      </w:r>
    </w:p>
    <w:p>
      <w:pPr>
        <w:framePr w:w="1817" w:x="1798" w:y="107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1131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共同对外投资的重大关联交易</w:t>
      </w:r>
    </w:p>
    <w:p>
      <w:pPr>
        <w:framePr w:w="5299" w:x="1798" w:y="11314"/>
        <w:widowControl w:val="0"/>
        <w:autoSpaceDE w:val="0"/>
        <w:autoSpaceDN w:val="0"/>
        <w:spacing w:before="23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1131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127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5719" w:x="1798" w:y="12738"/>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13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141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69" type="#_x0000_t75" style="width:445.6pt;height:2.7pt;margin-top:53.3pt;margin-left:87.45pt;mso-position-horizontal-relative:page;mso-position-vertical-relative:page;position:absolute;z-index:-25163673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2" w:name="br1_21"/>
      <w:bookmarkEnd w:id="22"/>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0" w:x="1798" w:y="151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四</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关联债权债务往来</w:t>
      </w:r>
    </w:p>
    <w:p>
      <w:pPr>
        <w:framePr w:w="5299" w:x="1798" w:y="2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已在临时公告披露且后续实施无进展或变化的事项</w:t>
      </w:r>
    </w:p>
    <w:p>
      <w:pPr>
        <w:framePr w:w="5299" w:x="1798" w:y="200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19" w:x="1798" w:y="29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已在临时公告披露，但有后续实施的进展或变化的事项</w:t>
      </w:r>
    </w:p>
    <w:p>
      <w:pPr>
        <w:framePr w:w="1817"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临时公告未披露的事项</w:t>
      </w:r>
    </w:p>
    <w:p>
      <w:pPr>
        <w:framePr w:w="1817" w:x="1798" w:y="4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0" w:x="1798" w:y="466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五</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其他重大关联交易</w:t>
      </w:r>
    </w:p>
    <w:p>
      <w:pPr>
        <w:framePr w:w="2350" w:x="1798" w:y="4660"/>
        <w:widowControl w:val="0"/>
        <w:autoSpaceDE w:val="0"/>
        <w:autoSpaceDN w:val="0"/>
        <w:spacing w:before="23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573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六</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6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0" w:x="1798" w:y="6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十一、</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重大合同及其履行情况</w:t>
      </w:r>
    </w:p>
    <w:p>
      <w:pPr>
        <w:framePr w:w="346" w:x="1798" w:y="72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p>
    <w:p>
      <w:pPr>
        <w:framePr w:w="2352" w:x="2218" w:y="7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托管、承包、租赁事项</w:t>
      </w:r>
    </w:p>
    <w:p>
      <w:pPr>
        <w:framePr w:w="1817" w:x="1798" w:y="76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6" w:x="1798" w:y="82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p>
    <w:p>
      <w:pPr>
        <w:framePr w:w="1085" w:x="2218" w:y="82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担保情况</w:t>
      </w:r>
    </w:p>
    <w:p>
      <w:pPr>
        <w:framePr w:w="1817" w:x="1798" w:y="8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425" w:y="8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万元</w:t>
      </w: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z w:val="21"/>
          <w:szCs w:val="22"/>
          <w:lang w:val="en-US" w:eastAsia="en-US" w:bidi="ar-SA"/>
        </w:rPr>
        <w:t>币种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人民币</w:t>
      </w:r>
    </w:p>
    <w:p>
      <w:pPr>
        <w:framePr w:w="4464" w:x="4112" w:y="9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公司对外担保情况（不包括对子公司的担保）</w:t>
      </w:r>
    </w:p>
    <w:p>
      <w:pPr>
        <w:framePr w:w="4464" w:x="4112" w:y="9130"/>
        <w:widowControl w:val="0"/>
        <w:autoSpaceDE w:val="0"/>
        <w:autoSpaceDN w:val="0"/>
        <w:spacing w:before="82" w:line="211" w:lineRule="exact"/>
        <w:ind w:left="3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2487" w:y="94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2487" w:y="942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方与</w:t>
      </w:r>
    </w:p>
    <w:p>
      <w:pPr>
        <w:framePr w:w="662" w:x="6942" w:y="9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4441" w:y="96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发生</w:t>
      </w:r>
    </w:p>
    <w:p>
      <w:pPr>
        <w:framePr w:w="1287" w:x="8893" w:y="96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w:t>
      </w:r>
      <w:r>
        <w:rPr>
          <w:rFonts w:eastAsiaTheme="minorEastAsia" w:hAnsiTheme="minorHAnsi" w:cstheme="minorBidi"/>
          <w:color w:val="000000"/>
          <w:spacing w:val="1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w:t>
      </w:r>
    </w:p>
    <w:p>
      <w:pPr>
        <w:framePr w:w="1286" w:x="5067" w:y="9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r>
        <w:rPr>
          <w:rFonts w:eastAsiaTheme="minorEastAsia" w:hAnsiTheme="minorHAnsi" w:cstheme="minorBidi"/>
          <w:color w:val="000000"/>
          <w:spacing w:val="14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担保</w:t>
      </w:r>
    </w:p>
    <w:p>
      <w:pPr>
        <w:framePr w:w="1286" w:x="5067" w:y="983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起始</w:t>
      </w:r>
      <w:r>
        <w:rPr>
          <w:rFonts w:eastAsiaTheme="minorEastAsia" w:hAnsiTheme="minorHAnsi" w:cstheme="minorBidi"/>
          <w:color w:val="000000"/>
          <w:spacing w:val="14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到期</w:t>
      </w:r>
    </w:p>
    <w:p>
      <w:pPr>
        <w:framePr w:w="1289" w:x="6942" w:y="9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是否</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担保</w:t>
      </w:r>
    </w:p>
    <w:p>
      <w:pPr>
        <w:framePr w:w="1289" w:x="6942" w:y="983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已经</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是否</w:t>
      </w:r>
    </w:p>
    <w:p>
      <w:pPr>
        <w:framePr w:w="1289" w:x="6942" w:y="983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履行</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逾期</w:t>
      </w:r>
    </w:p>
    <w:p>
      <w:pPr>
        <w:framePr w:w="1289" w:x="6942" w:y="983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完毕</w:t>
      </w:r>
    </w:p>
    <w:p>
      <w:pPr>
        <w:framePr w:w="3238" w:x="1865" w:y="9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r>
        <w:rPr>
          <w:rFonts w:eastAsiaTheme="minorEastAsia" w:hAnsiTheme="minorHAnsi" w:cstheme="minorBidi"/>
          <w:color w:val="000000"/>
          <w:spacing w:val="14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上市</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被担</w:t>
      </w:r>
      <w:r>
        <w:rPr>
          <w:rFonts w:eastAsiaTheme="minorEastAsia" w:hAnsiTheme="minorHAnsi" w:cstheme="minorBidi"/>
          <w:color w:val="000000"/>
          <w:spacing w:val="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担保金</w:t>
      </w:r>
      <w:r>
        <w:rPr>
          <w:rFonts w:eastAsiaTheme="minorEastAsia" w:hAnsiTheme="minorHAnsi" w:cstheme="minorBidi"/>
          <w:color w:val="000000"/>
          <w:spacing w:val="8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日期</w:t>
      </w:r>
    </w:p>
    <w:p>
      <w:pPr>
        <w:framePr w:w="662" w:x="6315" w:y="9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662" w:x="6315" w:y="996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类型</w:t>
      </w:r>
    </w:p>
    <w:p>
      <w:pPr>
        <w:framePr w:w="2681" w:x="8123" w:y="9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担保逾</w:t>
      </w:r>
      <w:r>
        <w:rPr>
          <w:rFonts w:eastAsiaTheme="minorEastAsia" w:hAnsiTheme="minorHAnsi" w:cstheme="minorBidi"/>
          <w:color w:val="000000"/>
          <w:spacing w:val="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存在</w:t>
      </w:r>
      <w:r>
        <w:rPr>
          <w:rFonts w:eastAsiaTheme="minorEastAsia" w:hAnsiTheme="minorHAnsi" w:cstheme="minorBidi"/>
          <w:color w:val="000000"/>
          <w:spacing w:val="1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为关</w:t>
      </w:r>
      <w:r>
        <w:rPr>
          <w:rFonts w:eastAsiaTheme="minorEastAsia" w:hAnsiTheme="minorHAnsi" w:cstheme="minorBidi"/>
          <w:color w:val="000000"/>
          <w:spacing w:val="14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w:t>
      </w:r>
    </w:p>
    <w:p>
      <w:pPr>
        <w:framePr w:w="2681" w:x="8123" w:y="996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期金额</w:t>
      </w:r>
      <w:r>
        <w:rPr>
          <w:rFonts w:eastAsiaTheme="minorEastAsia" w:hAnsiTheme="minorHAnsi" w:cstheme="minorBidi"/>
          <w:color w:val="000000"/>
          <w:spacing w:val="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反担</w:t>
      </w:r>
      <w:r>
        <w:rPr>
          <w:rFonts w:eastAsiaTheme="minorEastAsia" w:hAnsiTheme="minorHAnsi" w:cstheme="minorBidi"/>
          <w:color w:val="000000"/>
          <w:spacing w:val="1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联方</w:t>
      </w:r>
      <w:r>
        <w:rPr>
          <w:rFonts w:eastAsiaTheme="minorEastAsia" w:hAnsiTheme="minorHAnsi" w:cstheme="minorBidi"/>
          <w:color w:val="000000"/>
          <w:spacing w:val="14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关系</w:t>
      </w:r>
    </w:p>
    <w:p>
      <w:pPr>
        <w:framePr w:w="451" w:x="1971" w:y="102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w:t>
      </w:r>
    </w:p>
    <w:p>
      <w:pPr>
        <w:framePr w:w="1289" w:x="2487" w:y="102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w:t>
      </w:r>
      <w:r>
        <w:rPr>
          <w:rFonts w:eastAsiaTheme="minorEastAsia" w:hAnsiTheme="minorHAnsi" w:cstheme="minorBidi"/>
          <w:color w:val="000000"/>
          <w:spacing w:val="1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保方</w:t>
      </w:r>
    </w:p>
    <w:p>
      <w:pPr>
        <w:framePr w:w="1289" w:x="2487" w:y="1023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的关</w:t>
      </w:r>
    </w:p>
    <w:p>
      <w:pPr>
        <w:framePr w:w="1274" w:x="3882" w:y="102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r>
        <w:rPr>
          <w:rFonts w:eastAsiaTheme="minorEastAsia" w:hAnsiTheme="minorHAnsi" w:cstheme="minorBidi"/>
          <w:color w:val="000000"/>
          <w:spacing w:val="2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协议</w:t>
      </w:r>
    </w:p>
    <w:p>
      <w:pPr>
        <w:framePr w:w="1274" w:x="3882" w:y="10239"/>
        <w:widowControl w:val="0"/>
        <w:autoSpaceDE w:val="0"/>
        <w:autoSpaceDN w:val="0"/>
        <w:spacing w:before="62" w:line="211" w:lineRule="exact"/>
        <w:ind w:left="55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签署</w:t>
      </w:r>
    </w:p>
    <w:p>
      <w:pPr>
        <w:framePr w:w="451" w:x="5171" w:y="10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w:t>
      </w:r>
    </w:p>
    <w:p>
      <w:pPr>
        <w:framePr w:w="451" w:x="5795" w:y="10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w:t>
      </w:r>
    </w:p>
    <w:p>
      <w:pPr>
        <w:framePr w:w="451" w:x="8999" w:y="10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w:t>
      </w:r>
    </w:p>
    <w:p>
      <w:pPr>
        <w:framePr w:w="662" w:x="9518" w:y="10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担保</w:t>
      </w:r>
    </w:p>
    <w:p>
      <w:pPr>
        <w:framePr w:w="451" w:x="2592" w:y="107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系</w:t>
      </w:r>
    </w:p>
    <w:p>
      <w:pPr>
        <w:framePr w:w="557" w:x="4494" w:y="107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w:t>
      </w:r>
      <w:r>
        <w:rPr>
          <w:rFonts w:ascii="SimSun" w:eastAsiaTheme="minorEastAsia" w:hAnsiTheme="minorHAnsi" w:cstheme="minorBidi"/>
          <w:color w:val="000000"/>
          <w:sz w:val="21"/>
          <w:szCs w:val="22"/>
          <w:lang w:val="en-US" w:eastAsia="en-US" w:bidi="ar-SA"/>
        </w:rPr>
        <w:t>)</w:t>
      </w:r>
    </w:p>
    <w:p>
      <w:pPr>
        <w:framePr w:w="4042" w:x="1798" w:y="116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报告期内担保发生额合计（不包括对子公</w:t>
      </w:r>
    </w:p>
    <w:p>
      <w:pPr>
        <w:framePr w:w="4042" w:x="1798" w:y="1167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司的担保）</w:t>
      </w:r>
    </w:p>
    <w:p>
      <w:pPr>
        <w:framePr w:w="346" w:x="10442" w:y="116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442" w:y="11674"/>
        <w:widowControl w:val="0"/>
        <w:autoSpaceDE w:val="0"/>
        <w:autoSpaceDN w:val="0"/>
        <w:spacing w:before="3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936" w:x="1798" w:y="12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报告期末担保余额合计（</w:t>
      </w:r>
      <w:r>
        <w:rPr>
          <w:rFonts w:ascii="SimSun"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）（不包括对</w:t>
      </w:r>
    </w:p>
    <w:p>
      <w:pPr>
        <w:framePr w:w="3936" w:x="1798" w:y="1222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子公司的担保）</w:t>
      </w:r>
    </w:p>
    <w:p>
      <w:pPr>
        <w:framePr w:w="2563" w:x="5017" w:y="128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公司对子公司的担保情况</w:t>
      </w:r>
    </w:p>
    <w:p>
      <w:pPr>
        <w:framePr w:w="6613" w:x="1798" w:y="131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报告期内对子公司担保发生额合计</w:t>
      </w:r>
    </w:p>
    <w:p>
      <w:pPr>
        <w:framePr w:w="6613" w:x="1798" w:y="13100"/>
        <w:widowControl w:val="0"/>
        <w:autoSpaceDE w:val="0"/>
        <w:autoSpaceDN w:val="0"/>
        <w:spacing w:before="10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报告期末对子公司担保余额合计（</w:t>
      </w:r>
      <w:r>
        <w:rPr>
          <w:rFonts w:ascii="SimSun" w:eastAsiaTheme="minorEastAsia" w:hAnsiTheme="minorHAnsi" w:cstheme="minorBidi"/>
          <w:color w:val="000000"/>
          <w:spacing w:val="-2"/>
          <w:sz w:val="21"/>
          <w:szCs w:val="22"/>
          <w:lang w:val="en-US" w:eastAsia="en-US" w:bidi="ar-SA"/>
        </w:rPr>
        <w:t>B</w:t>
      </w:r>
      <w:r>
        <w:rPr>
          <w:rFonts w:ascii="SimSun" w:hAnsi="SimSun" w:eastAsiaTheme="minorEastAsia" w:cs="SimSun"/>
          <w:color w:val="000000"/>
          <w:sz w:val="21"/>
          <w:szCs w:val="22"/>
          <w:lang w:val="en-US" w:eastAsia="en-US" w:bidi="ar-SA"/>
        </w:rPr>
        <w:t>）</w:t>
      </w:r>
    </w:p>
    <w:p>
      <w:pPr>
        <w:framePr w:w="6613" w:x="1798" w:y="13100"/>
        <w:widowControl w:val="0"/>
        <w:autoSpaceDE w:val="0"/>
        <w:autoSpaceDN w:val="0"/>
        <w:spacing w:before="125" w:line="211" w:lineRule="exact"/>
        <w:ind w:left="237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公司担保总额情况（包括对子公司的担保）</w:t>
      </w:r>
    </w:p>
    <w:p>
      <w:pPr>
        <w:framePr w:w="979" w:x="9813" w:y="131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5,406.7</w:t>
      </w:r>
    </w:p>
    <w:p>
      <w:pPr>
        <w:framePr w:w="1085" w:x="9708" w:y="134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10,356.7</w:t>
      </w:r>
    </w:p>
    <w:p>
      <w:pPr>
        <w:framePr w:w="1824" w:x="1798" w:y="140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担保总额（</w:t>
      </w:r>
      <w:r>
        <w:rPr>
          <w:rFonts w:ascii="SimSun" w:eastAsiaTheme="minorEastAsia" w:hAnsiTheme="minorHAnsi" w:cstheme="minorBidi"/>
          <w:color w:val="000000"/>
          <w:sz w:val="21"/>
          <w:szCs w:val="22"/>
          <w:lang w:val="en-US" w:eastAsia="en-US" w:bidi="ar-SA"/>
        </w:rPr>
        <w:t>A+B</w:t>
      </w:r>
      <w:r>
        <w:rPr>
          <w:rFonts w:ascii="SimSun" w:hAnsi="SimSun" w:eastAsiaTheme="minorEastAsia" w:cs="SimSun"/>
          <w:color w:val="000000"/>
          <w:sz w:val="21"/>
          <w:szCs w:val="22"/>
          <w:lang w:val="en-US" w:eastAsia="en-US" w:bidi="ar-SA"/>
        </w:rPr>
        <w:t>）</w:t>
      </w:r>
    </w:p>
    <w:p>
      <w:pPr>
        <w:framePr w:w="1085" w:x="9708" w:y="140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10,356.7</w:t>
      </w:r>
    </w:p>
    <w:p>
      <w:pPr>
        <w:framePr w:w="1085" w:x="9708" w:y="14056"/>
        <w:widowControl w:val="0"/>
        <w:autoSpaceDE w:val="0"/>
        <w:autoSpaceDN w:val="0"/>
        <w:spacing w:before="178"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6.38</w:t>
      </w:r>
    </w:p>
    <w:p>
      <w:pPr>
        <w:framePr w:w="3302" w:x="1798" w:y="144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担保总额占公司净资产的比例</w:t>
      </w:r>
      <w:r>
        <w:rPr>
          <w:rFonts w:ascii="SimSun" w:eastAsiaTheme="minorEastAsia" w:hAnsiTheme="minorHAnsi" w:cstheme="minorBidi"/>
          <w:color w:val="000000"/>
          <w:spacing w:val="-1"/>
          <w:sz w:val="21"/>
          <w:szCs w:val="22"/>
          <w:lang w:val="en-US" w:eastAsia="en-US" w:bidi="ar-SA"/>
        </w:rPr>
        <w:t>(%)</w:t>
      </w:r>
    </w:p>
    <w:p>
      <w:pPr>
        <w:framePr w:w="3302" w:x="1798" w:y="14444"/>
        <w:widowControl w:val="0"/>
        <w:autoSpaceDE w:val="0"/>
        <w:autoSpaceDN w:val="0"/>
        <w:spacing w:before="10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4042" w:x="1798" w:y="150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为股东、实际控制人及其关联方提供担保</w:t>
      </w:r>
    </w:p>
    <w:p>
      <w:pPr>
        <w:framePr w:w="346" w:x="10442" w:y="150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0" type="#_x0000_t75" style="width:445.6pt;height:2.7pt;margin-top:53.3pt;margin-left:87.45pt;mso-position-horizontal-relative:page;mso-position-vertical-relative:page;position:absolute;z-index:-251493376">
            <v:imagedata r:id="rId42" o:title=""/>
          </v:shape>
        </w:pict>
      </w:r>
      <w:r>
        <w:rPr>
          <w:noProof/>
        </w:rPr>
        <w:pict>
          <v:shape id="_x0000_s1071" type="#_x0000_t75" style="width:447.3pt;height:316.45pt;margin-top:453.05pt;margin-left:87.1pt;mso-position-horizontal-relative:page;mso-position-vertical-relative:page;position:absolute;z-index:-251635712">
            <v:imagedata r:id="rId43" o:title=""/>
          </v:shape>
        </w:pict>
      </w:r>
    </w:p>
    <w:p>
      <w:pPr>
        <w:spacing w:line="0" w:lineRule="atLeast"/>
        <w:rPr>
          <w:rFonts w:ascii="Arial" w:eastAsiaTheme="minorEastAsia" w:hAnsiTheme="minorHAnsi" w:cstheme="minorBidi"/>
          <w:color w:val="FF0000"/>
          <w:sz w:val="2"/>
          <w:szCs w:val="22"/>
          <w:lang w:val="en-US" w:eastAsia="en-US" w:bidi="ar-SA"/>
        </w:rPr>
      </w:pPr>
      <w:bookmarkStart w:id="23" w:name="br1_22"/>
      <w:bookmarkEnd w:id="23"/>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402"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r>
        <w:rPr>
          <w:rFonts w:ascii="SimSun" w:eastAsiaTheme="minorEastAsia" w:hAnsiTheme="minorHAnsi" w:cstheme="minorBidi"/>
          <w:color w:val="000000"/>
          <w:spacing w:val="-2"/>
          <w:sz w:val="21"/>
          <w:szCs w:val="22"/>
          <w:lang w:val="en-US" w:eastAsia="en-US" w:bidi="ar-SA"/>
        </w:rPr>
        <w:t>C</w:t>
      </w:r>
      <w:r>
        <w:rPr>
          <w:rFonts w:ascii="SimSun" w:hAnsi="SimSun" w:eastAsiaTheme="minorEastAsia" w:cs="SimSun"/>
          <w:color w:val="000000"/>
          <w:sz w:val="21"/>
          <w:szCs w:val="22"/>
          <w:lang w:val="en-US" w:eastAsia="en-US" w:bidi="ar-SA"/>
        </w:rPr>
        <w:t>）</w:t>
      </w:r>
    </w:p>
    <w:p>
      <w:pPr>
        <w:framePr w:w="3936" w:x="1798" w:y="1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直接或间接为资产负债率超过</w:t>
      </w:r>
      <w:r>
        <w:rPr>
          <w:rFonts w:ascii="SimSun" w:eastAsiaTheme="minorEastAsia" w:hAnsiTheme="minorHAnsi" w:cstheme="minorBidi"/>
          <w:color w:val="000000"/>
          <w:sz w:val="21"/>
          <w:szCs w:val="22"/>
          <w:lang w:val="en-US" w:eastAsia="en-US" w:bidi="ar-SA"/>
        </w:rPr>
        <w:t>70%</w:t>
      </w:r>
      <w:r>
        <w:rPr>
          <w:rFonts w:ascii="SimSun" w:hAnsi="SimSun" w:eastAsiaTheme="minorEastAsia" w:cs="SimSun"/>
          <w:color w:val="000000"/>
          <w:sz w:val="21"/>
          <w:szCs w:val="22"/>
          <w:lang w:val="en-US" w:eastAsia="en-US" w:bidi="ar-SA"/>
        </w:rPr>
        <w:t>的被担</w:t>
      </w:r>
    </w:p>
    <w:p>
      <w:pPr>
        <w:framePr w:w="3936" w:x="1798" w:y="186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保对象提供的债务担保金额（</w:t>
      </w:r>
      <w:r>
        <w:rPr>
          <w:rFonts w:ascii="SimSun" w:eastAsiaTheme="minorEastAsia" w:hAnsiTheme="minorHAnsi" w:cstheme="minorBidi"/>
          <w:color w:val="000000"/>
          <w:spacing w:val="-2"/>
          <w:sz w:val="21"/>
          <w:szCs w:val="22"/>
          <w:lang w:val="en-US" w:eastAsia="en-US" w:bidi="ar-SA"/>
        </w:rPr>
        <w:t>D</w:t>
      </w:r>
      <w:r>
        <w:rPr>
          <w:rFonts w:ascii="SimSun" w:hAnsi="SimSun" w:eastAsiaTheme="minorEastAsia" w:cs="SimSun"/>
          <w:color w:val="000000"/>
          <w:sz w:val="21"/>
          <w:szCs w:val="22"/>
          <w:lang w:val="en-US" w:eastAsia="en-US" w:bidi="ar-SA"/>
        </w:rPr>
        <w:t>）</w:t>
      </w:r>
    </w:p>
    <w:p>
      <w:pPr>
        <w:framePr w:w="346" w:x="10442" w:y="18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042" w:x="1798" w:y="24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担保总额超过净资产</w:t>
      </w:r>
      <w:r>
        <w:rPr>
          <w:rFonts w:ascii="SimSun" w:eastAsiaTheme="minorEastAsia" w:hAnsiTheme="minorHAnsi" w:cstheme="minorBidi"/>
          <w:color w:val="000000"/>
          <w:sz w:val="21"/>
          <w:szCs w:val="22"/>
          <w:lang w:val="en-US" w:eastAsia="en-US" w:bidi="ar-SA"/>
        </w:rPr>
        <w:t>50%</w:t>
      </w:r>
      <w:r>
        <w:rPr>
          <w:rFonts w:ascii="SimSun" w:hAnsi="SimSun" w:eastAsiaTheme="minorEastAsia" w:cs="SimSun"/>
          <w:color w:val="000000"/>
          <w:sz w:val="21"/>
          <w:szCs w:val="22"/>
          <w:lang w:val="en-US" w:eastAsia="en-US" w:bidi="ar-SA"/>
        </w:rPr>
        <w:t>部分的金额（</w:t>
      </w:r>
      <w:r>
        <w:rPr>
          <w:rFonts w:ascii="SimSun" w:eastAsiaTheme="minorEastAsia" w:hAnsiTheme="minorHAnsi" w:cstheme="minorBidi"/>
          <w:color w:val="000000"/>
          <w:spacing w:val="1"/>
          <w:sz w:val="21"/>
          <w:szCs w:val="22"/>
          <w:lang w:val="en-US" w:eastAsia="en-US" w:bidi="ar-SA"/>
        </w:rPr>
        <w:t>E</w:t>
      </w:r>
      <w:r>
        <w:rPr>
          <w:rFonts w:ascii="SimSun" w:hAnsi="SimSun" w:eastAsiaTheme="minorEastAsia" w:cs="SimSun"/>
          <w:color w:val="000000"/>
          <w:sz w:val="21"/>
          <w:szCs w:val="22"/>
          <w:lang w:val="en-US" w:eastAsia="en-US" w:bidi="ar-SA"/>
        </w:rPr>
        <w:t>）</w:t>
      </w:r>
    </w:p>
    <w:p>
      <w:pPr>
        <w:framePr w:w="346" w:x="10442" w:y="24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830" w:x="1798"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上述三项担保金额合计（</w:t>
      </w:r>
      <w:r>
        <w:rPr>
          <w:rFonts w:ascii="SimSun" w:eastAsiaTheme="minorEastAsia" w:hAnsiTheme="minorHAnsi" w:cstheme="minorBidi"/>
          <w:color w:val="000000"/>
          <w:sz w:val="21"/>
          <w:szCs w:val="22"/>
          <w:lang w:val="en-US" w:eastAsia="en-US" w:bidi="ar-SA"/>
        </w:rPr>
        <w:t>C+D+E</w:t>
      </w:r>
      <w:r>
        <w:rPr>
          <w:rFonts w:ascii="SimSun" w:hAnsi="SimSun" w:eastAsiaTheme="minorEastAsia" w:cs="SimSun"/>
          <w:color w:val="000000"/>
          <w:sz w:val="21"/>
          <w:szCs w:val="22"/>
          <w:lang w:val="en-US" w:eastAsia="en-US" w:bidi="ar-SA"/>
        </w:rPr>
        <w:t>）</w:t>
      </w:r>
    </w:p>
    <w:p>
      <w:pPr>
        <w:framePr w:w="3830" w:x="1798" w:y="2755"/>
        <w:widowControl w:val="0"/>
        <w:autoSpaceDE w:val="0"/>
        <w:autoSpaceDN w:val="0"/>
        <w:spacing w:before="10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未到期担保可能承担连带清偿责任说明</w:t>
      </w:r>
    </w:p>
    <w:p>
      <w:pPr>
        <w:framePr w:w="3830" w:x="1798" w:y="2755"/>
        <w:widowControl w:val="0"/>
        <w:autoSpaceDE w:val="0"/>
        <w:autoSpaceDN w:val="0"/>
        <w:spacing w:before="8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担保情况说明</w:t>
      </w:r>
    </w:p>
    <w:p>
      <w:pPr>
        <w:framePr w:w="346" w:x="10442" w:y="27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51" w:x="10420" w:y="3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451" w:x="10420" w:y="3055"/>
        <w:widowControl w:val="0"/>
        <w:autoSpaceDE w:val="0"/>
        <w:autoSpaceDN w:val="0"/>
        <w:spacing w:before="108"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46" w:x="1798" w:y="40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1507" w:x="2218" w:y="4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其他重大合同</w:t>
      </w:r>
    </w:p>
    <w:p>
      <w:pPr>
        <w:framePr w:w="1817" w:x="1798" w:y="43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0" w:x="1798" w:y="4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上市公司扶贫工作情况</w:t>
      </w:r>
    </w:p>
    <w:p>
      <w:pPr>
        <w:framePr w:w="3190" w:x="1798" w:y="4960"/>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1" w:x="1798" w:y="6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十三、</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可转换公司债券情况</w:t>
      </w:r>
    </w:p>
    <w:p>
      <w:pPr>
        <w:framePr w:w="2981" w:x="1798" w:y="603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7" w:x="1798" w:y="71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十四、</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环境信息情况</w:t>
      </w:r>
    </w:p>
    <w:p>
      <w:pPr>
        <w:framePr w:w="7827" w:x="1798" w:y="755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属于环境保护部门公布的重点排污单位的公司及其重要子公司的环保情况说明</w:t>
      </w:r>
    </w:p>
    <w:p>
      <w:pPr>
        <w:framePr w:w="1817" w:x="1798" w:y="7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790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排污信息</w:t>
      </w:r>
    </w:p>
    <w:p>
      <w:pPr>
        <w:framePr w:w="1817" w:x="1798" w:y="8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896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公司及子公司潍坊先达主要从事农药原药研发、生产及销售。一直高度重视环境治理工作，</w:t>
      </w:r>
    </w:p>
    <w:p>
      <w:pPr>
        <w:framePr w:w="9110" w:x="1798" w:y="896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对其厂区内三废、噪声等均采取了有效的综合治理措施，各项排污许可证照齐全。报告期内公司</w:t>
      </w:r>
    </w:p>
    <w:p>
      <w:pPr>
        <w:framePr w:w="9110" w:x="1798" w:y="896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和潍坊先达防治污染设施运行正常，废水、废气均达标排放，未发生环境污染事故。</w:t>
      </w:r>
    </w:p>
    <w:p>
      <w:pPr>
        <w:framePr w:w="9110" w:x="1798" w:y="896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、排污信息</w:t>
      </w:r>
    </w:p>
    <w:p>
      <w:pPr>
        <w:framePr w:w="1870" w:x="2218" w:y="105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公司排污信息</w:t>
      </w:r>
    </w:p>
    <w:p>
      <w:pPr>
        <w:framePr w:w="2880" w:x="2218" w:y="110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）公司废水的排放信息：</w:t>
      </w:r>
    </w:p>
    <w:p>
      <w:pPr>
        <w:framePr w:w="9110" w:x="1798" w:y="114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主要污染物及特征污染物名称：</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z w:val="21"/>
          <w:szCs w:val="22"/>
          <w:lang w:val="en-US" w:eastAsia="en-US" w:bidi="ar-SA"/>
        </w:rPr>
        <w:t>、氨氮、其他特征污染物（总氮（以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N</w:t>
      </w:r>
      <w:r>
        <w:rPr>
          <w:rFonts w:ascii="SimSun" w:hAnsi="SimSun" w:eastAsiaTheme="minorEastAsia" w:cs="SimSun"/>
          <w:color w:val="000000"/>
          <w:sz w:val="21"/>
          <w:szCs w:val="22"/>
          <w:lang w:val="en-US" w:eastAsia="en-US" w:bidi="ar-SA"/>
        </w:rPr>
        <w:t>计）、</w:t>
      </w:r>
      <w:r>
        <w:rPr>
          <w:rFonts w:ascii="SimSun" w:eastAsiaTheme="minorEastAsia" w:hAnsiTheme="minorHAnsi" w:cstheme="minorBidi"/>
          <w:color w:val="000000"/>
          <w:spacing w:val="-1"/>
          <w:sz w:val="21"/>
          <w:szCs w:val="22"/>
          <w:lang w:val="en-US" w:eastAsia="en-US" w:bidi="ar-SA"/>
        </w:rPr>
        <w:t>pH</w:t>
      </w:r>
      <w:r>
        <w:rPr>
          <w:rFonts w:ascii="SimSun" w:hAnsi="SimSun" w:eastAsiaTheme="minorEastAsia" w:cs="SimSun"/>
          <w:color w:val="000000"/>
          <w:sz w:val="21"/>
          <w:szCs w:val="22"/>
          <w:lang w:val="en-US" w:eastAsia="en-US" w:bidi="ar-SA"/>
        </w:rPr>
        <w:t>值、色</w:t>
      </w:r>
    </w:p>
    <w:p>
      <w:pPr>
        <w:framePr w:w="9110" w:x="1798" w:y="114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度、溶解性总固体、全盐量、悬浮物、五日生化需氧量、总有机碳、甲苯、二甲苯、氯化物（以</w:t>
      </w:r>
    </w:p>
    <w:p>
      <w:pPr>
        <w:framePr w:w="9110" w:x="1798" w:y="114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Cl-</w:t>
      </w:r>
      <w:r>
        <w:rPr>
          <w:rFonts w:ascii="SimSun" w:hAnsi="SimSun" w:eastAsiaTheme="minorEastAsia" w:cs="SimSun"/>
          <w:color w:val="000000"/>
          <w:sz w:val="21"/>
          <w:szCs w:val="22"/>
          <w:lang w:val="en-US" w:eastAsia="en-US" w:bidi="ar-SA"/>
        </w:rPr>
        <w:t>计））。</w:t>
      </w:r>
    </w:p>
    <w:p>
      <w:pPr>
        <w:framePr w:w="9076" w:x="1798" w:y="1264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排放方式：公司废水经分类收集处理后，进入公司污水处理站，经“厌氧</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UASB+</w:t>
      </w:r>
      <w:r>
        <w:rPr>
          <w:rFonts w:ascii="SimSun" w:hAnsi="SimSun" w:eastAsiaTheme="minorEastAsia" w:cs="SimSun"/>
          <w:color w:val="000000"/>
          <w:sz w:val="21"/>
          <w:szCs w:val="22"/>
          <w:lang w:val="en-US" w:eastAsia="en-US" w:bidi="ar-SA"/>
        </w:rPr>
        <w:t>活性污泥</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接</w:t>
      </w:r>
    </w:p>
    <w:p>
      <w:pPr>
        <w:framePr w:w="9076" w:x="1798" w:y="1264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触氧化”生化处理后达标排入污水处理厂。</w:t>
      </w:r>
    </w:p>
    <w:p>
      <w:pPr>
        <w:framePr w:w="9078" w:x="1798" w:y="134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排放口数量和分布情况：本公司设有</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4"/>
          <w:sz w:val="21"/>
          <w:szCs w:val="22"/>
          <w:lang w:val="en-US" w:eastAsia="en-US" w:bidi="ar-SA"/>
        </w:rPr>
        <w:t>个废水总排口，位于经度</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48</w:t>
      </w:r>
      <w:r>
        <w:rPr>
          <w:rFonts w:ascii="SimSun" w:hAnsi="SimSun" w:eastAsiaTheme="minorEastAsia" w:cs="SimSun"/>
          <w:color w:val="000000"/>
          <w:spacing w:val="-11"/>
          <w:sz w:val="21"/>
          <w:szCs w:val="22"/>
          <w:lang w:val="en-US" w:eastAsia="en-US" w:bidi="ar-SA"/>
        </w:rPr>
        <w:t>″、纬度</w:t>
      </w:r>
      <w:r>
        <w:rPr>
          <w:rFonts w:eastAsiaTheme="minorEastAsia" w:hAnsiTheme="minorHAnsi" w:cstheme="minorBidi"/>
          <w:color w:val="000000"/>
          <w:spacing w:val="1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pacing w:val="1"/>
          <w:sz w:val="15"/>
          <w:szCs w:val="22"/>
          <w:lang w:val="en-US" w:eastAsia="en-US" w:bidi="ar-SA"/>
        </w:rPr>
        <w:t>°</w:t>
      </w:r>
      <w:r>
        <w:rPr>
          <w:rFonts w:ascii="SimSun" w:eastAsiaTheme="minorEastAsia" w:hAnsiTheme="minorHAnsi" w:cstheme="minorBidi"/>
          <w:color w:val="000000"/>
          <w:spacing w:val="-2"/>
          <w:sz w:val="21"/>
          <w:szCs w:val="22"/>
          <w:lang w:val="en-US" w:eastAsia="en-US" w:bidi="ar-SA"/>
        </w:rPr>
        <w:t>8</w:t>
      </w:r>
      <w:r>
        <w:rPr>
          <w:rFonts w:ascii="SimSun" w:hAnsi="SimSun" w:eastAsiaTheme="minorEastAsia" w:cs="SimSun"/>
          <w:color w:val="000000"/>
          <w:sz w:val="21"/>
          <w:szCs w:val="22"/>
          <w:lang w:val="en-US" w:eastAsia="en-US" w:bidi="ar-SA"/>
        </w:rPr>
        <w:t>′</w:t>
      </w:r>
    </w:p>
    <w:p>
      <w:pPr>
        <w:framePr w:w="9078" w:x="1798" w:y="134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pacing w:val="1"/>
          <w:sz w:val="21"/>
          <w:szCs w:val="22"/>
          <w:lang w:val="en-US" w:eastAsia="en-US" w:bidi="ar-SA"/>
        </w:rPr>
        <w:t>″。</w:t>
      </w:r>
    </w:p>
    <w:p>
      <w:pPr>
        <w:framePr w:w="9069" w:x="1798" w:y="142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废水排放执行的排放标准：光大水务（博兴）有限公司接管标准、《污水排入城镇下水道水</w:t>
      </w:r>
    </w:p>
    <w:p>
      <w:pPr>
        <w:framePr w:w="9069" w:x="1798" w:y="1427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质标准》（</w:t>
      </w:r>
      <w:r>
        <w:rPr>
          <w:rFonts w:ascii="SimSun" w:eastAsiaTheme="minorEastAsia" w:hAnsiTheme="minorHAnsi" w:cstheme="minorBidi"/>
          <w:color w:val="000000"/>
          <w:sz w:val="21"/>
          <w:szCs w:val="22"/>
          <w:lang w:val="en-US" w:eastAsia="en-US" w:bidi="ar-SA"/>
        </w:rPr>
        <w:t>GB/T31962-2015</w:t>
      </w:r>
      <w:r>
        <w:rPr>
          <w:rFonts w:ascii="SimSun" w:hAnsi="SimSun" w:eastAsiaTheme="minorEastAsia" w:cs="SimSun"/>
          <w:color w:val="000000"/>
          <w:sz w:val="21"/>
          <w:szCs w:val="22"/>
          <w:lang w:val="en-US" w:eastAsia="en-US" w:bidi="ar-SA"/>
        </w:rPr>
        <w:t>）、《污水综合排放标准》（</w:t>
      </w:r>
      <w:r>
        <w:rPr>
          <w:rFonts w:ascii="SimSun" w:eastAsiaTheme="minorEastAsia" w:hAnsiTheme="minorHAnsi" w:cstheme="minorBidi"/>
          <w:color w:val="000000"/>
          <w:sz w:val="21"/>
          <w:szCs w:val="22"/>
          <w:lang w:val="en-US" w:eastAsia="en-US" w:bidi="ar-SA"/>
        </w:rPr>
        <w:t>GB8978-1996</w:t>
      </w:r>
      <w:r>
        <w:rPr>
          <w:rFonts w:ascii="SimSun" w:hAnsi="SimSun" w:eastAsiaTheme="minorEastAsia" w:cs="SimSun"/>
          <w:color w:val="000000"/>
          <w:spacing w:val="-1"/>
          <w:sz w:val="21"/>
          <w:szCs w:val="22"/>
          <w:lang w:val="en-US" w:eastAsia="en-US" w:bidi="ar-SA"/>
        </w:rPr>
        <w:t>）。</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2" type="#_x0000_t75" style="width:445.6pt;height:2.7pt;margin-top:53.3pt;margin-left:87.45pt;mso-position-horizontal-relative:page;mso-position-vertical-relative:page;position:absolute;z-index:-251492352">
            <v:imagedata r:id="rId44" o:title=""/>
          </v:shape>
        </w:pict>
      </w:r>
      <w:r>
        <w:rPr>
          <w:noProof/>
        </w:rPr>
        <w:pict>
          <v:shape id="_x0000_s1073" type="#_x0000_t75" style="width:447.3pt;height:109.8pt;margin-top:74.3pt;margin-left:87.1pt;mso-position-horizontal-relative:page;mso-position-vertical-relative:page;position:absolute;z-index:-251634688">
            <v:imagedata r:id="rId45" o:title=""/>
          </v:shape>
        </w:pict>
      </w:r>
    </w:p>
    <w:p>
      <w:pPr>
        <w:spacing w:line="0" w:lineRule="atLeast"/>
        <w:rPr>
          <w:rFonts w:ascii="Arial" w:eastAsiaTheme="minorEastAsia" w:hAnsiTheme="minorHAnsi" w:cstheme="minorBidi"/>
          <w:color w:val="FF0000"/>
          <w:sz w:val="2"/>
          <w:szCs w:val="22"/>
          <w:lang w:val="en-US" w:eastAsia="en-US" w:bidi="ar-SA"/>
        </w:rPr>
      </w:pPr>
      <w:bookmarkStart w:id="24" w:name="br1_23"/>
      <w:bookmarkEnd w:id="24"/>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76"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核定的排放总量和浓度：</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COD</w:t>
      </w:r>
      <w:r>
        <w:rPr>
          <w:rFonts w:ascii="SimSun" w:hAnsi="SimSun" w:eastAsiaTheme="minorEastAsia" w:cs="SimSun"/>
          <w:color w:val="000000"/>
          <w:spacing w:val="-56"/>
          <w:sz w:val="21"/>
          <w:szCs w:val="22"/>
          <w:lang w:val="en-US" w:eastAsia="en-US" w:bidi="ar-SA"/>
        </w:rPr>
        <w:t>：</w:t>
      </w:r>
      <w:r>
        <w:rPr>
          <w:rFonts w:ascii="SimSun" w:eastAsiaTheme="minorEastAsia" w:hAnsiTheme="minorHAnsi" w:cstheme="minorBidi"/>
          <w:color w:val="000000"/>
          <w:spacing w:val="-2"/>
          <w:sz w:val="21"/>
          <w:szCs w:val="22"/>
          <w:lang w:val="en-US" w:eastAsia="en-US" w:bidi="ar-SA"/>
        </w:rPr>
        <w:t>36</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pacing w:val="-56"/>
          <w:sz w:val="21"/>
          <w:szCs w:val="22"/>
          <w:lang w:val="en-US" w:eastAsia="en-US" w:bidi="ar-SA"/>
        </w:rPr>
        <w:t>：</w:t>
      </w:r>
      <w:r>
        <w:rPr>
          <w:rFonts w:ascii="SimSun" w:eastAsiaTheme="minorEastAsia" w:hAnsiTheme="minorHAnsi" w:cstheme="minorBidi"/>
          <w:color w:val="000000"/>
          <w:sz w:val="21"/>
          <w:szCs w:val="22"/>
          <w:lang w:val="en-US" w:eastAsia="en-US" w:bidi="ar-SA"/>
        </w:rPr>
        <w:t>500mg/L</w:t>
      </w:r>
      <w:r>
        <w:rPr>
          <w:rFonts w:ascii="SimSun" w:hAnsi="SimSun" w:eastAsiaTheme="minorEastAsia" w:cs="SimSun"/>
          <w:color w:val="000000"/>
          <w:spacing w:val="-19"/>
          <w:sz w:val="21"/>
          <w:szCs w:val="22"/>
          <w:lang w:val="en-US" w:eastAsia="en-US" w:bidi="ar-SA"/>
        </w:rPr>
        <w:t>；氨氮</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3.24</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1"/>
          <w:sz w:val="21"/>
          <w:szCs w:val="22"/>
          <w:lang w:val="en-US" w:eastAsia="en-US" w:bidi="ar-SA"/>
        </w:rPr>
        <w:t>年，氨氮：</w:t>
      </w:r>
      <w:r>
        <w:rPr>
          <w:rFonts w:ascii="SimSun" w:eastAsiaTheme="minorEastAsia" w:hAnsiTheme="minorHAnsi" w:cstheme="minorBidi"/>
          <w:color w:val="000000"/>
          <w:sz w:val="21"/>
          <w:szCs w:val="22"/>
          <w:lang w:val="en-US" w:eastAsia="en-US" w:bidi="ar-SA"/>
        </w:rPr>
        <w:t>45</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p>
      <w:pPr>
        <w:framePr w:w="907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总氮（以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N</w:t>
      </w:r>
      <w:r>
        <w:rPr>
          <w:rFonts w:ascii="SimSun" w:hAnsi="SimSun" w:eastAsiaTheme="minorEastAsia" w:cs="SimSun"/>
          <w:color w:val="000000"/>
          <w:sz w:val="21"/>
          <w:szCs w:val="22"/>
          <w:lang w:val="en-US" w:eastAsia="en-US" w:bidi="ar-SA"/>
        </w:rPr>
        <w:t>计）：</w:t>
      </w:r>
      <w:r>
        <w:rPr>
          <w:rFonts w:ascii="SimSun" w:eastAsiaTheme="minorEastAsia" w:hAnsiTheme="minorHAnsi" w:cstheme="minorBidi"/>
          <w:color w:val="000000"/>
          <w:sz w:val="21"/>
          <w:szCs w:val="22"/>
          <w:lang w:val="en-US" w:eastAsia="en-US" w:bidi="ar-SA"/>
        </w:rPr>
        <w:t>5.04</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2"/>
          <w:sz w:val="21"/>
          <w:szCs w:val="22"/>
          <w:lang w:val="en-US" w:eastAsia="en-US" w:bidi="ar-SA"/>
        </w:rPr>
        <w:t>70</w:t>
      </w:r>
      <w:r>
        <w:rPr>
          <w:rFonts w:ascii="SimSun"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p>
      <w:pPr>
        <w:framePr w:w="9078" w:x="1798" w:y="2354"/>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报告期内排放浓度和总量：</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z w:val="21"/>
          <w:szCs w:val="22"/>
          <w:lang w:val="en-US" w:eastAsia="en-US" w:bidi="ar-SA"/>
        </w:rPr>
        <w:t>排放总量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8.377</w:t>
      </w:r>
      <w:r>
        <w:rPr>
          <w:rFonts w:ascii="SimSun" w:hAnsi="SimSun" w:eastAsiaTheme="minorEastAsia" w:cs="SimSun"/>
          <w:color w:val="000000"/>
          <w:spacing w:val="-15"/>
          <w:sz w:val="21"/>
          <w:szCs w:val="22"/>
          <w:lang w:val="en-US" w:eastAsia="en-US" w:bidi="ar-SA"/>
        </w:rPr>
        <w:t>吨，排放浓度：</w:t>
      </w:r>
      <w:r>
        <w:rPr>
          <w:rFonts w:ascii="SimSun" w:eastAsiaTheme="minorEastAsia" w:hAnsiTheme="minorHAnsi" w:cstheme="minorBidi"/>
          <w:color w:val="000000"/>
          <w:sz w:val="21"/>
          <w:szCs w:val="22"/>
          <w:lang w:val="en-US" w:eastAsia="en-US" w:bidi="ar-SA"/>
        </w:rPr>
        <w:t>324mg/L</w:t>
      </w:r>
      <w:r>
        <w:rPr>
          <w:rFonts w:ascii="SimSun" w:hAnsi="SimSun" w:eastAsiaTheme="minorEastAsia" w:cs="SimSun"/>
          <w:color w:val="000000"/>
          <w:spacing w:val="-15"/>
          <w:sz w:val="21"/>
          <w:szCs w:val="22"/>
          <w:lang w:val="en-US" w:eastAsia="en-US" w:bidi="ar-SA"/>
        </w:rPr>
        <w:t>；氨氮排放总量</w:t>
      </w:r>
      <w:r>
        <w:rPr>
          <w:rFonts w:eastAsiaTheme="minorEastAsia" w:hAnsiTheme="minorHAnsi" w:cstheme="minorBidi"/>
          <w:color w:val="000000"/>
          <w:spacing w:val="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0.308t</w:t>
      </w:r>
    </w:p>
    <w:p>
      <w:pPr>
        <w:framePr w:w="9078"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吨，排放浓度：</w:t>
      </w:r>
      <w:r>
        <w:rPr>
          <w:rFonts w:ascii="SimSun" w:eastAsiaTheme="minorEastAsia" w:hAnsiTheme="minorHAnsi" w:cstheme="minorBidi"/>
          <w:color w:val="000000"/>
          <w:sz w:val="21"/>
          <w:szCs w:val="22"/>
          <w:lang w:val="en-US" w:eastAsia="en-US" w:bidi="ar-SA"/>
        </w:rPr>
        <w:t>10.821mg/L</w:t>
      </w:r>
      <w:r>
        <w:rPr>
          <w:rFonts w:ascii="SimSun" w:hAnsi="SimSun" w:eastAsiaTheme="minorEastAsia" w:cs="SimSun"/>
          <w:color w:val="000000"/>
          <w:sz w:val="21"/>
          <w:szCs w:val="22"/>
          <w:lang w:val="en-US" w:eastAsia="en-US" w:bidi="ar-SA"/>
        </w:rPr>
        <w:t>；总氮（以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N</w:t>
      </w:r>
      <w:r>
        <w:rPr>
          <w:rFonts w:ascii="SimSun" w:hAnsi="SimSun" w:eastAsiaTheme="minorEastAsia" w:cs="SimSun"/>
          <w:color w:val="000000"/>
          <w:sz w:val="21"/>
          <w:szCs w:val="22"/>
          <w:lang w:val="en-US" w:eastAsia="en-US" w:bidi="ar-SA"/>
        </w:rPr>
        <w:t>计）：</w:t>
      </w:r>
      <w:r>
        <w:rPr>
          <w:rFonts w:ascii="SimSun" w:eastAsiaTheme="minorEastAsia" w:hAnsiTheme="minorHAnsi" w:cstheme="minorBidi"/>
          <w:color w:val="000000"/>
          <w:sz w:val="21"/>
          <w:szCs w:val="22"/>
          <w:lang w:val="en-US" w:eastAsia="en-US" w:bidi="ar-SA"/>
        </w:rPr>
        <w:t>0.946</w:t>
      </w:r>
      <w:r>
        <w:rPr>
          <w:rFonts w:ascii="SimSun" w:hAnsi="SimSun" w:eastAsiaTheme="minorEastAsia" w:cs="SimSun"/>
          <w:color w:val="000000"/>
          <w:sz w:val="21"/>
          <w:szCs w:val="22"/>
          <w:lang w:val="en-US" w:eastAsia="en-US" w:bidi="ar-SA"/>
        </w:rPr>
        <w:t>吨。未超过排污许可证上的总量要求。</w:t>
      </w:r>
    </w:p>
    <w:p>
      <w:pPr>
        <w:framePr w:w="9078" w:x="1798" w:y="235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）公司废气的排放信息：</w:t>
      </w:r>
    </w:p>
    <w:p>
      <w:pPr>
        <w:framePr w:w="9069"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主要污染物及特征污染物名称：挥发性有机物，二甲苯，氨（氨气），臭气浓度，硫酸雾，</w:t>
      </w:r>
    </w:p>
    <w:p>
      <w:pPr>
        <w:framePr w:w="9069"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颗粒物，氯化氢，二氧化硫，氮氧化物，二噁英类，甲醇，甲苯，乙酸，硫化氢。</w:t>
      </w:r>
    </w:p>
    <w:p>
      <w:pPr>
        <w:framePr w:w="9069" w:x="1798" w:y="357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排放方式：不同的废气经低温冷凝、吸收塔、活性炭纤维吸附床、</w:t>
      </w: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蓄热焚烧炉等环保设</w:t>
      </w:r>
    </w:p>
    <w:p>
      <w:pPr>
        <w:framePr w:w="9069"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施处理后有组织达标排放。</w:t>
      </w:r>
    </w:p>
    <w:p>
      <w:pPr>
        <w:framePr w:w="8586" w:x="2218" w:y="52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排放口数量和分布情况：主要排放口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个，分布在经度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48</w:t>
      </w:r>
      <w:r>
        <w:rPr>
          <w:rFonts w:ascii="SimSun" w:hAnsi="SimSun" w:eastAsiaTheme="minorEastAsia" w:cs="SimSun"/>
          <w:color w:val="000000"/>
          <w:sz w:val="21"/>
          <w:szCs w:val="22"/>
          <w:lang w:val="en-US" w:eastAsia="en-US" w:bidi="ar-SA"/>
        </w:rPr>
        <w:t>″、纬度</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pacing w:val="1"/>
          <w:sz w:val="15"/>
          <w:szCs w:val="22"/>
          <w:lang w:val="en-US" w:eastAsia="en-US" w:bidi="ar-SA"/>
        </w:rPr>
        <w:t>°</w:t>
      </w:r>
      <w:r>
        <w:rPr>
          <w:rFonts w:ascii="SimSun" w:eastAsiaTheme="minorEastAsia" w:hAnsiTheme="minorHAnsi" w:cstheme="minorBidi"/>
          <w:color w:val="000000"/>
          <w:spacing w:val="-2"/>
          <w:sz w:val="21"/>
          <w:szCs w:val="22"/>
          <w:lang w:val="en-US" w:eastAsia="en-US" w:bidi="ar-SA"/>
        </w:rPr>
        <w:t>8</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pacing w:val="1"/>
          <w:sz w:val="21"/>
          <w:szCs w:val="22"/>
          <w:lang w:val="en-US" w:eastAsia="en-US" w:bidi="ar-SA"/>
        </w:rPr>
        <w:t>″。</w:t>
      </w:r>
    </w:p>
    <w:p>
      <w:pPr>
        <w:framePr w:w="8642" w:x="2218" w:y="5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废气主要污染物：颗粒物、</w:t>
      </w:r>
      <w:r>
        <w:rPr>
          <w:rFonts w:ascii="SimSun" w:eastAsiaTheme="minorEastAsia" w:hAnsiTheme="minorHAnsi" w:cstheme="minorBidi"/>
          <w:color w:val="000000"/>
          <w:sz w:val="21"/>
          <w:szCs w:val="22"/>
          <w:lang w:val="en-US" w:eastAsia="en-US" w:bidi="ar-SA"/>
        </w:rPr>
        <w:t>SO</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NOx</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VOCs</w:t>
      </w:r>
      <w:r>
        <w:rPr>
          <w:rFonts w:ascii="SimSun" w:hAnsi="SimSun" w:eastAsiaTheme="minorEastAsia" w:cs="SimSun"/>
          <w:color w:val="000000"/>
          <w:sz w:val="21"/>
          <w:szCs w:val="22"/>
          <w:lang w:val="en-US" w:eastAsia="en-US" w:bidi="ar-SA"/>
        </w:rPr>
        <w:t>、其他特征污染物（二甲苯、氨（氨气）、臭气</w:t>
      </w:r>
    </w:p>
    <w:p>
      <w:pPr>
        <w:framePr w:w="8642" w:x="2218" w:y="5623"/>
        <w:widowControl w:val="0"/>
        <w:autoSpaceDE w:val="0"/>
        <w:autoSpaceDN w:val="0"/>
        <w:spacing w:line="120" w:lineRule="exact"/>
        <w:ind w:left="2734"/>
        <w:rPr>
          <w:rFonts w:ascii="SimSun" w:eastAsiaTheme="minorEastAsia" w:hAnsiTheme="minorHAnsi" w:cstheme="minorBidi"/>
          <w:color w:val="000000"/>
          <w:sz w:val="12"/>
          <w:szCs w:val="22"/>
          <w:lang w:val="en-US" w:eastAsia="en-US" w:bidi="ar-SA"/>
        </w:rPr>
      </w:pPr>
      <w:r>
        <w:rPr>
          <w:rFonts w:ascii="SimSun" w:eastAsiaTheme="minorEastAsia" w:hAnsiTheme="minorHAnsi" w:cstheme="minorBidi"/>
          <w:color w:val="000000"/>
          <w:sz w:val="12"/>
          <w:szCs w:val="22"/>
          <w:lang w:val="en-US" w:eastAsia="en-US" w:bidi="ar-SA"/>
        </w:rPr>
        <w:t>2</w:t>
      </w:r>
    </w:p>
    <w:p>
      <w:pPr>
        <w:framePr w:w="9216" w:x="1798" w:y="6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浓度、硫酸雾、颗粒物、氯化氢、二噁英类、甲醇、甲苯、乙酸、硫化氢）；</w:t>
      </w:r>
    </w:p>
    <w:p>
      <w:pPr>
        <w:framePr w:w="9216" w:x="1798" w:y="6032"/>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废气排放执行标准：《大气污染物综合排放标准》（</w:t>
      </w:r>
      <w:r>
        <w:rPr>
          <w:rFonts w:ascii="SimSun" w:eastAsiaTheme="minorEastAsia" w:hAnsiTheme="minorHAnsi" w:cstheme="minorBidi"/>
          <w:color w:val="000000"/>
          <w:sz w:val="21"/>
          <w:szCs w:val="22"/>
          <w:lang w:val="en-US" w:eastAsia="en-US" w:bidi="ar-SA"/>
        </w:rPr>
        <w:t>GB16297-1996</w:t>
      </w:r>
      <w:r>
        <w:rPr>
          <w:rFonts w:ascii="SimSun" w:hAnsi="SimSun" w:eastAsiaTheme="minorEastAsia" w:cs="SimSun"/>
          <w:color w:val="000000"/>
          <w:sz w:val="21"/>
          <w:szCs w:val="22"/>
          <w:lang w:val="en-US" w:eastAsia="en-US" w:bidi="ar-SA"/>
        </w:rPr>
        <w:t>）、《山东省区域性大气</w:t>
      </w:r>
    </w:p>
    <w:p>
      <w:pPr>
        <w:framePr w:w="9216"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污染物综合排放标准》（</w:t>
      </w:r>
      <w:r>
        <w:rPr>
          <w:rFonts w:ascii="SimSun" w:eastAsiaTheme="minorEastAsia" w:hAnsiTheme="minorHAnsi" w:cstheme="minorBidi"/>
          <w:color w:val="000000"/>
          <w:sz w:val="21"/>
          <w:szCs w:val="22"/>
          <w:lang w:val="en-US" w:eastAsia="en-US" w:bidi="ar-SA"/>
        </w:rPr>
        <w:t>DB37/2376-2019</w:t>
      </w:r>
      <w:r>
        <w:rPr>
          <w:rFonts w:ascii="SimSun" w:hAnsi="SimSun" w:eastAsiaTheme="minorEastAsia" w:cs="SimSun"/>
          <w:color w:val="000000"/>
          <w:spacing w:val="-12"/>
          <w:sz w:val="21"/>
          <w:szCs w:val="22"/>
          <w:lang w:val="en-US" w:eastAsia="en-US" w:bidi="ar-SA"/>
        </w:rPr>
        <w:t>）、《挥发性有机物排放标准</w:t>
      </w:r>
      <w:r>
        <w:rPr>
          <w:rFonts w:eastAsiaTheme="minorEastAsia" w:hAnsiTheme="minorHAnsi" w:cstheme="minorBidi"/>
          <w:color w:val="000000"/>
          <w:spacing w:val="63"/>
          <w:sz w:val="21"/>
          <w:szCs w:val="22"/>
          <w:lang w:val="en-US" w:eastAsia="en-US" w:bidi="ar-SA"/>
        </w:rPr>
        <w:t xml:space="preserve"> </w:t>
      </w: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pacing w:val="-5"/>
          <w:sz w:val="21"/>
          <w:szCs w:val="22"/>
          <w:lang w:val="en-US" w:eastAsia="en-US" w:bidi="ar-SA"/>
        </w:rPr>
        <w:t>部分：有机化工行业》</w:t>
      </w:r>
    </w:p>
    <w:p>
      <w:pPr>
        <w:framePr w:w="9216"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DB37</w:t>
      </w:r>
      <w:r>
        <w:rPr>
          <w:rFonts w:ascii="SimSun"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2801.6-2018</w:t>
      </w:r>
      <w:r>
        <w:rPr>
          <w:rFonts w:ascii="SimSun" w:hAnsi="SimSun" w:eastAsiaTheme="minorEastAsia" w:cs="SimSun"/>
          <w:color w:val="000000"/>
          <w:spacing w:val="-4"/>
          <w:sz w:val="21"/>
          <w:szCs w:val="22"/>
          <w:lang w:val="en-US" w:eastAsia="en-US" w:bidi="ar-SA"/>
        </w:rPr>
        <w:t>）、《有机化工企业污水处理厂（站）挥发性有机物及恶臭污染物排放标准》</w:t>
      </w:r>
    </w:p>
    <w:p>
      <w:pPr>
        <w:framePr w:w="9216" w:x="1798" w:y="603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DB37/3161-2018</w:t>
      </w:r>
      <w:r>
        <w:rPr>
          <w:rFonts w:ascii="SimSun" w:hAnsi="SimSun" w:eastAsiaTheme="minorEastAsia" w:cs="SimSun"/>
          <w:color w:val="000000"/>
          <w:spacing w:val="-1"/>
          <w:sz w:val="21"/>
          <w:szCs w:val="22"/>
          <w:lang w:val="en-US" w:eastAsia="en-US" w:bidi="ar-SA"/>
        </w:rPr>
        <w:t>）。</w:t>
      </w:r>
    </w:p>
    <w:p>
      <w:pPr>
        <w:framePr w:w="9322" w:x="1798" w:y="80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主要气体污染物核定的排放总量和浓度：</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颗粒物：</w:t>
      </w:r>
      <w:r>
        <w:rPr>
          <w:rFonts w:ascii="SimSun" w:eastAsiaTheme="minorEastAsia" w:hAnsiTheme="minorHAnsi" w:cstheme="minorBidi"/>
          <w:color w:val="000000"/>
          <w:sz w:val="21"/>
          <w:szCs w:val="22"/>
          <w:lang w:val="en-US" w:eastAsia="en-US" w:bidi="ar-SA"/>
        </w:rPr>
        <w:t>0.72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z w:val="21"/>
          <w:szCs w:val="22"/>
          <w:lang w:val="en-US" w:eastAsia="en-US" w:bidi="ar-SA"/>
        </w:rPr>
        <w:t>10mg/m3</w:t>
      </w:r>
      <w:r>
        <w:rPr>
          <w:rFonts w:ascii="SimSun" w:hAnsi="SimSun" w:eastAsiaTheme="minorEastAsia" w:cs="SimSun"/>
          <w:color w:val="000000"/>
          <w:spacing w:val="-7"/>
          <w:sz w:val="21"/>
          <w:szCs w:val="22"/>
          <w:lang w:val="en-US" w:eastAsia="en-US" w:bidi="ar-SA"/>
        </w:rPr>
        <w:t>；二氧化硫：</w:t>
      </w:r>
      <w:r>
        <w:rPr>
          <w:rFonts w:ascii="SimSun" w:eastAsiaTheme="minorEastAsia" w:hAnsiTheme="minorHAnsi" w:cstheme="minorBidi"/>
          <w:color w:val="000000"/>
          <w:spacing w:val="-1"/>
          <w:sz w:val="21"/>
          <w:szCs w:val="22"/>
          <w:lang w:val="en-US" w:eastAsia="en-US" w:bidi="ar-SA"/>
        </w:rPr>
        <w:t>3.6</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吨</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z w:val="21"/>
          <w:szCs w:val="22"/>
          <w:lang w:val="en-US" w:eastAsia="en-US" w:bidi="ar-SA"/>
        </w:rPr>
        <w:t>50mg/m3</w:t>
      </w:r>
      <w:r>
        <w:rPr>
          <w:rFonts w:ascii="SimSun" w:hAnsi="SimSun" w:eastAsiaTheme="minorEastAsia" w:cs="SimSun"/>
          <w:color w:val="000000"/>
          <w:sz w:val="21"/>
          <w:szCs w:val="22"/>
          <w:lang w:val="en-US" w:eastAsia="en-US" w:bidi="ar-SA"/>
        </w:rPr>
        <w:t>、氮氧化物：</w:t>
      </w:r>
      <w:r>
        <w:rPr>
          <w:rFonts w:ascii="SimSun" w:eastAsiaTheme="minorEastAsia" w:hAnsiTheme="minorHAnsi" w:cstheme="minorBidi"/>
          <w:color w:val="000000"/>
          <w:sz w:val="21"/>
          <w:szCs w:val="22"/>
          <w:lang w:val="en-US" w:eastAsia="en-US" w:bidi="ar-SA"/>
        </w:rPr>
        <w:t>7.2</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年，</w:t>
      </w:r>
      <w:r>
        <w:rPr>
          <w:rFonts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100mg/m3</w:t>
      </w:r>
      <w:r>
        <w:rPr>
          <w:rFonts w:ascii="SimSun" w:hAnsi="SimSun" w:eastAsiaTheme="minorEastAsia" w:cs="SimSun"/>
          <w:color w:val="000000"/>
          <w:sz w:val="21"/>
          <w:szCs w:val="22"/>
          <w:lang w:val="en-US" w:eastAsia="en-US" w:bidi="ar-SA"/>
        </w:rPr>
        <w:t>；挥发性有机物：</w:t>
      </w:r>
      <w:r>
        <w:rPr>
          <w:rFonts w:ascii="SimSun" w:eastAsiaTheme="minorEastAsia" w:hAnsiTheme="minorHAnsi" w:cstheme="minorBidi"/>
          <w:color w:val="000000"/>
          <w:sz w:val="21"/>
          <w:szCs w:val="22"/>
          <w:lang w:val="en-US" w:eastAsia="en-US" w:bidi="ar-SA"/>
        </w:rPr>
        <w:t>8.424</w:t>
      </w:r>
      <w:r>
        <w:rPr>
          <w:rFonts w:ascii="SimSun" w:hAnsi="SimSun" w:eastAsiaTheme="minorEastAsia" w:cs="SimSun"/>
          <w:color w:val="000000"/>
          <w:spacing w:val="1"/>
          <w:sz w:val="21"/>
          <w:szCs w:val="22"/>
          <w:lang w:val="en-US" w:eastAsia="en-US" w:bidi="ar-SA"/>
        </w:rPr>
        <w:t>吨</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年，</w:t>
      </w:r>
      <w:r>
        <w:rPr>
          <w:rFonts w:ascii="SimSun" w:eastAsiaTheme="minorEastAsia" w:hAnsiTheme="minorHAnsi" w:cstheme="minorBidi"/>
          <w:color w:val="000000"/>
          <w:sz w:val="21"/>
          <w:szCs w:val="22"/>
          <w:lang w:val="en-US" w:eastAsia="en-US" w:bidi="ar-SA"/>
        </w:rPr>
        <w:t>60mg/m3</w:t>
      </w:r>
      <w:r>
        <w:rPr>
          <w:rFonts w:ascii="SimSun" w:hAnsi="SimSun" w:eastAsiaTheme="minorEastAsia" w:cs="SimSun"/>
          <w:color w:val="000000"/>
          <w:sz w:val="21"/>
          <w:szCs w:val="22"/>
          <w:lang w:val="en-US" w:eastAsia="en-US" w:bidi="ar-SA"/>
        </w:rPr>
        <w:t>。</w:t>
      </w:r>
    </w:p>
    <w:p>
      <w:pPr>
        <w:framePr w:w="9322" w:x="1798" w:y="807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报告期内主要气体污染物排放总量及浓度：颗粒物总量</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0.0718t</w:t>
      </w:r>
      <w:r>
        <w:rPr>
          <w:rFonts w:ascii="SimSun" w:hAnsi="SimSun" w:eastAsiaTheme="minorEastAsia" w:cs="SimSun"/>
          <w:color w:val="000000"/>
          <w:spacing w:val="-10"/>
          <w:sz w:val="21"/>
          <w:szCs w:val="22"/>
          <w:lang w:val="en-US" w:eastAsia="en-US" w:bidi="ar-SA"/>
        </w:rPr>
        <w:t>，浓度</w:t>
      </w:r>
      <w:r>
        <w:rPr>
          <w:rFonts w:eastAsiaTheme="minorEastAsia" w:hAnsiTheme="minorHAnsi" w:cstheme="minorBidi"/>
          <w:color w:val="000000"/>
          <w:spacing w:val="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2.236mg/m3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8"/>
          <w:sz w:val="21"/>
          <w:szCs w:val="22"/>
          <w:lang w:val="en-US" w:eastAsia="en-US" w:bidi="ar-SA"/>
        </w:rPr>
        <w:t>；二氧化</w:t>
      </w:r>
    </w:p>
    <w:p>
      <w:pPr>
        <w:framePr w:w="9322"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硫总量</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0.0267t</w:t>
      </w:r>
      <w:r>
        <w:rPr>
          <w:rFonts w:ascii="SimSun" w:hAnsi="SimSun" w:eastAsiaTheme="minorEastAsia" w:cs="SimSun"/>
          <w:color w:val="000000"/>
          <w:spacing w:val="-35"/>
          <w:sz w:val="21"/>
          <w:szCs w:val="22"/>
          <w:lang w:val="en-US" w:eastAsia="en-US" w:bidi="ar-SA"/>
        </w:rPr>
        <w:t>，浓度</w:t>
      </w:r>
      <w:r>
        <w:rPr>
          <w:rFonts w:eastAsiaTheme="minorEastAsia" w:hAnsiTheme="minorHAnsi" w:cstheme="minorBidi"/>
          <w:color w:val="000000"/>
          <w:spacing w:val="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1mg/m3</w:t>
      </w:r>
      <w:r>
        <w:rPr>
          <w:rFonts w:ascii="SimSun" w:hAnsi="SimSun" w:eastAsiaTheme="minorEastAsia" w:cs="SimSun"/>
          <w:color w:val="000000"/>
          <w:spacing w:val="-15"/>
          <w:sz w:val="21"/>
          <w:szCs w:val="22"/>
          <w:lang w:val="en-US" w:eastAsia="en-US" w:bidi="ar-SA"/>
        </w:rPr>
        <w:t>；氮氧化物总量</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0.128t</w:t>
      </w:r>
      <w:r>
        <w:rPr>
          <w:rFonts w:ascii="SimSun" w:hAnsi="SimSun" w:eastAsiaTheme="minorEastAsia" w:cs="SimSun"/>
          <w:color w:val="000000"/>
          <w:spacing w:val="-53"/>
          <w:sz w:val="21"/>
          <w:szCs w:val="22"/>
          <w:lang w:val="en-US" w:eastAsia="en-US" w:bidi="ar-SA"/>
        </w:rPr>
        <w:t>，浓</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度</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4.66mg/m3</w:t>
      </w:r>
      <w:r>
        <w:rPr>
          <w:rFonts w:ascii="SimSun" w:hAnsi="SimSun" w:eastAsiaTheme="minorEastAsia" w:cs="SimSun"/>
          <w:color w:val="000000"/>
          <w:spacing w:val="-12"/>
          <w:sz w:val="21"/>
          <w:szCs w:val="22"/>
          <w:lang w:val="en-US" w:eastAsia="en-US" w:bidi="ar-SA"/>
        </w:rPr>
        <w:t>；挥发性有机物总量</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0.468t</w:t>
      </w:r>
      <w:r>
        <w:rPr>
          <w:rFonts w:ascii="SimSun" w:hAnsi="SimSun" w:eastAsiaTheme="minorEastAsia" w:cs="SimSun"/>
          <w:color w:val="000000"/>
          <w:sz w:val="21"/>
          <w:szCs w:val="22"/>
          <w:lang w:val="en-US" w:eastAsia="en-US" w:bidi="ar-SA"/>
        </w:rPr>
        <w:t>，</w:t>
      </w:r>
    </w:p>
    <w:p>
      <w:pPr>
        <w:framePr w:w="9322" w:x="1798" w:y="807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浓度</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16.486mg/m3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。上述废气排放未超过排污许可证的总量。</w:t>
      </w:r>
    </w:p>
    <w:p>
      <w:pPr>
        <w:framePr w:w="4042" w:x="2218" w:y="101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报告期内，公司废水、废气均达标排放。</w:t>
      </w:r>
    </w:p>
    <w:p>
      <w:pPr>
        <w:framePr w:w="2458" w:x="2218" w:y="10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、潍坊先达排污信息</w:t>
      </w:r>
    </w:p>
    <w:p>
      <w:pPr>
        <w:framePr w:w="2880" w:x="2218" w:y="10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）潍坊先达废水排放信息</w:t>
      </w:r>
    </w:p>
    <w:p>
      <w:pPr>
        <w:framePr w:w="9078"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主要污染物类别：</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pacing w:val="-3"/>
          <w:sz w:val="21"/>
          <w:szCs w:val="22"/>
          <w:lang w:val="en-US" w:eastAsia="en-US" w:bidi="ar-SA"/>
        </w:rPr>
        <w:t>、氨氮、其他特征污染物（甲苯、色度、动植物油、挥发酚、五日生化</w:t>
      </w:r>
    </w:p>
    <w:p>
      <w:pPr>
        <w:framePr w:w="9078"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需氧量、石油类、悬浮物、</w:t>
      </w:r>
      <w:r>
        <w:rPr>
          <w:rFonts w:ascii="SimSun" w:eastAsiaTheme="minorEastAsia" w:hAnsiTheme="minorHAnsi" w:cstheme="minorBidi"/>
          <w:color w:val="000000"/>
          <w:sz w:val="21"/>
          <w:szCs w:val="22"/>
          <w:lang w:val="en-US" w:eastAsia="en-US" w:bidi="ar-SA"/>
        </w:rPr>
        <w:t>pH</w:t>
      </w:r>
      <w:r>
        <w:rPr>
          <w:rFonts w:ascii="SimSun" w:hAnsi="SimSun" w:eastAsiaTheme="minorEastAsia" w:cs="SimSun"/>
          <w:color w:val="000000"/>
          <w:sz w:val="21"/>
          <w:szCs w:val="22"/>
          <w:lang w:val="en-US" w:eastAsia="en-US" w:bidi="ar-SA"/>
        </w:rPr>
        <w:t>值、总氮（以</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N</w:t>
      </w:r>
      <w:r>
        <w:rPr>
          <w:rFonts w:ascii="SimSun" w:hAnsi="SimSun" w:eastAsiaTheme="minorEastAsia" w:cs="SimSun"/>
          <w:color w:val="000000"/>
          <w:sz w:val="21"/>
          <w:szCs w:val="22"/>
          <w:lang w:val="en-US" w:eastAsia="en-US" w:bidi="ar-SA"/>
        </w:rPr>
        <w:t>计）、溶解性总固体）。</w:t>
      </w:r>
    </w:p>
    <w:p>
      <w:pPr>
        <w:framePr w:w="9078" w:x="1798" w:y="1134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废水主要排放口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1</w:t>
      </w:r>
      <w:r>
        <w:rPr>
          <w:rFonts w:ascii="SimSun" w:hAnsi="SimSun" w:eastAsiaTheme="minorEastAsia" w:cs="SimSun"/>
          <w:color w:val="000000"/>
          <w:sz w:val="21"/>
          <w:szCs w:val="22"/>
          <w:lang w:val="en-US" w:eastAsia="en-US" w:bidi="ar-SA"/>
        </w:rPr>
        <w:t>个。分布情况：经度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′、纬度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7</w:t>
      </w:r>
      <w:r>
        <w:rPr>
          <w:rFonts w:ascii="SimSun" w:hAnsi="SimSun" w:eastAsiaTheme="minorEastAsia" w:cs="SimSun"/>
          <w:color w:val="000000"/>
          <w:sz w:val="21"/>
          <w:szCs w:val="22"/>
          <w:lang w:val="en-US" w:eastAsia="en-US" w:bidi="ar-SA"/>
        </w:rPr>
        <w:t>。</w:t>
      </w:r>
    </w:p>
    <w:p>
      <w:pPr>
        <w:framePr w:w="9068" w:x="1798" w:y="125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水污染物排放执行标准名称：潍坊崇杰水处理有限公司接管标准、污水排入城镇下水道水质</w:t>
      </w:r>
    </w:p>
    <w:p>
      <w:pPr>
        <w:framePr w:w="9068" w:x="1798" w:y="125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标准</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GB/T31962-2015</w:t>
      </w:r>
      <w:r>
        <w:rPr>
          <w:rFonts w:ascii="SimSun" w:hAnsi="SimSun" w:eastAsiaTheme="minorEastAsia" w:cs="SimSun"/>
          <w:color w:val="000000"/>
          <w:sz w:val="21"/>
          <w:szCs w:val="22"/>
          <w:lang w:val="en-US" w:eastAsia="en-US" w:bidi="ar-SA"/>
        </w:rPr>
        <w:t>、污水综合排放标准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GB8978-1996</w:t>
      </w:r>
      <w:r>
        <w:rPr>
          <w:rFonts w:ascii="SimSun" w:hAnsi="SimSun" w:eastAsiaTheme="minorEastAsia" w:cs="SimSun"/>
          <w:color w:val="000000"/>
          <w:sz w:val="21"/>
          <w:szCs w:val="22"/>
          <w:lang w:val="en-US" w:eastAsia="en-US" w:bidi="ar-SA"/>
        </w:rPr>
        <w:t>。</w:t>
      </w:r>
    </w:p>
    <w:p>
      <w:pPr>
        <w:framePr w:w="9179" w:x="1798" w:y="13386"/>
        <w:widowControl w:val="0"/>
        <w:autoSpaceDE w:val="0"/>
        <w:autoSpaceDN w:val="0"/>
        <w:spacing w:line="211" w:lineRule="exact"/>
        <w:ind w:left="40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主要废水污染物排放总量和浓度：</w:t>
      </w:r>
      <w:r>
        <w:rPr>
          <w:rFonts w:ascii="SimSun" w:eastAsiaTheme="minorEastAsia" w:hAnsiTheme="minorHAnsi" w:cstheme="minorBidi"/>
          <w:color w:val="000000"/>
          <w:spacing w:val="-1"/>
          <w:sz w:val="21"/>
          <w:szCs w:val="22"/>
          <w:lang w:val="en-US" w:eastAsia="en-US" w:bidi="ar-SA"/>
        </w:rPr>
        <w:t>COD</w:t>
      </w:r>
      <w:r>
        <w:rPr>
          <w:rFonts w:ascii="SimSun"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145.19t/a</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3"/>
          <w:sz w:val="21"/>
          <w:szCs w:val="22"/>
          <w:lang w:val="en-US" w:eastAsia="en-US" w:bidi="ar-SA"/>
        </w:rPr>
        <w:t>2000mg/L</w:t>
      </w: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7.2595t/a</w:t>
      </w:r>
      <w:r>
        <w:rPr>
          <w:rFonts w:ascii="SimSun" w:hAnsi="SimSun" w:eastAsiaTheme="minorEastAsia" w:cs="SimSun"/>
          <w:color w:val="000000"/>
          <w:spacing w:val="4"/>
          <w:sz w:val="21"/>
          <w:szCs w:val="22"/>
          <w:lang w:val="en-US" w:eastAsia="en-US" w:bidi="ar-SA"/>
        </w:rPr>
        <w:t>，</w:t>
      </w:r>
      <w:r>
        <w:rPr>
          <w:rFonts w:ascii="SimSun" w:eastAsiaTheme="minorEastAsia" w:hAnsiTheme="minorHAnsi" w:cstheme="minorBidi"/>
          <w:color w:val="000000"/>
          <w:spacing w:val="3"/>
          <w:sz w:val="21"/>
          <w:szCs w:val="22"/>
          <w:lang w:val="en-US" w:eastAsia="en-US" w:bidi="ar-SA"/>
        </w:rPr>
        <w:t>100</w:t>
      </w:r>
      <w:r>
        <w:rPr>
          <w:rFonts w:ascii="SimSun"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3"/>
          <w:sz w:val="21"/>
          <w:szCs w:val="22"/>
          <w:lang w:val="en-US" w:eastAsia="en-US" w:bidi="ar-SA"/>
        </w:rPr>
        <w:t>mg/L</w:t>
      </w:r>
      <w:r>
        <w:rPr>
          <w:rFonts w:ascii="SimSun" w:hAnsi="SimSun" w:eastAsiaTheme="minorEastAsia" w:cs="SimSun"/>
          <w:color w:val="000000"/>
          <w:sz w:val="21"/>
          <w:szCs w:val="22"/>
          <w:lang w:val="en-US" w:eastAsia="en-US" w:bidi="ar-SA"/>
        </w:rPr>
        <w:t>。</w:t>
      </w:r>
    </w:p>
    <w:p>
      <w:pPr>
        <w:framePr w:w="9179" w:x="1798" w:y="13386"/>
        <w:widowControl w:val="0"/>
        <w:autoSpaceDE w:val="0"/>
        <w:autoSpaceDN w:val="0"/>
        <w:spacing w:before="197" w:line="211" w:lineRule="exact"/>
        <w:ind w:left="408"/>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报告期内废水污染物排放总量和浓度：</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42.3</w:t>
      </w:r>
      <w:r>
        <w:rPr>
          <w:rFonts w:ascii="SimSun" w:hAnsi="SimSun" w:eastAsiaTheme="minorEastAsia" w:cs="SimSun"/>
          <w:color w:val="000000"/>
          <w:spacing w:val="-15"/>
          <w:sz w:val="21"/>
          <w:szCs w:val="22"/>
          <w:lang w:val="en-US" w:eastAsia="en-US" w:bidi="ar-SA"/>
        </w:rPr>
        <w:t>吨，浓度</w:t>
      </w:r>
      <w:r>
        <w:rPr>
          <w:rFonts w:eastAsiaTheme="minorEastAsia" w:hAnsiTheme="minorHAnsi" w:cstheme="minorBidi"/>
          <w:color w:val="000000"/>
          <w:spacing w:val="6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COD650mg/L</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2"/>
          <w:sz w:val="21"/>
          <w:szCs w:val="22"/>
          <w:lang w:val="en-US" w:eastAsia="en-US" w:bidi="ar-SA"/>
        </w:rPr>
        <w:t>；氨氮总量</w:t>
      </w:r>
      <w:r>
        <w:rPr>
          <w:rFonts w:eastAsiaTheme="minorEastAsia" w:hAnsiTheme="minorHAnsi" w:cstheme="minorBidi"/>
          <w:color w:val="000000"/>
          <w:spacing w:val="1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2.55</w:t>
      </w:r>
    </w:p>
    <w:p>
      <w:pPr>
        <w:framePr w:w="9179" w:x="1798" w:y="13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吨，浓度</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39.2mg/L</w:t>
      </w:r>
      <w:r>
        <w:rPr>
          <w:rFonts w:ascii="SimSun" w:hAnsi="SimSun" w:eastAsiaTheme="minorEastAsia" w:cs="SimSun"/>
          <w:color w:val="000000"/>
          <w:spacing w:val="-1"/>
          <w:sz w:val="21"/>
          <w:szCs w:val="22"/>
          <w:lang w:val="en-US" w:eastAsia="en-US" w:bidi="ar-SA"/>
        </w:rPr>
        <w:t>。上述废气排放未超过排污许可证的总量。上述废水排放未超过排污许可证的</w:t>
      </w:r>
    </w:p>
    <w:p>
      <w:pPr>
        <w:framePr w:w="9179" w:x="1798" w:y="13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总量。</w:t>
      </w:r>
    </w:p>
    <w:p>
      <w:pPr>
        <w:framePr w:w="3091" w:x="221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）潍坊先达废气排放信息：</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4" type="#_x0000_t75" style="width:445.6pt;height:2.7pt;margin-top:53.3pt;margin-left:87.45pt;mso-position-horizontal-relative:page;mso-position-vertical-relative:page;position:absolute;z-index:-25163366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5" w:name="br1_24"/>
      <w:bookmarkEnd w:id="25"/>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主要污染物类别：颗粒物、二氧化硫、氮氧化物、挥发性有机物、其他特征污染物（乙醇、</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甲苯、颗粒物、二氯甲烷、一氧化碳、氟化氢、苯、甲醛、甲醇、</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二氯乙烷、氯化氢、硫化</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氢、氨（氨气）、臭气浓度、二噁英类；</w:t>
      </w:r>
    </w:p>
    <w:p>
      <w:pPr>
        <w:framePr w:w="9110"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大气污染物排放形式：有组织、无组织；废水污染物排放规律：间断排放，排放期间流量稳</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定。大气污染物排放执行标准名称：大气污染物综合排放标准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GB16297-1996</w:t>
      </w:r>
      <w:r>
        <w:rPr>
          <w:rFonts w:ascii="SimSun" w:hAnsi="SimSun" w:eastAsiaTheme="minorEastAsia" w:cs="SimSun"/>
          <w:color w:val="000000"/>
          <w:spacing w:val="-1"/>
          <w:sz w:val="21"/>
          <w:szCs w:val="22"/>
          <w:lang w:val="en-US" w:eastAsia="en-US" w:bidi="ar-SA"/>
        </w:rPr>
        <w:t>、山东省区域性大气</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污染物综合排放标准</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DB37/2376-2019</w:t>
      </w:r>
      <w:r>
        <w:rPr>
          <w:rFonts w:ascii="SimSun" w:hAnsi="SimSun" w:eastAsiaTheme="minorEastAsia" w:cs="SimSun"/>
          <w:color w:val="000000"/>
          <w:sz w:val="21"/>
          <w:szCs w:val="22"/>
          <w:lang w:val="en-US" w:eastAsia="en-US" w:bidi="ar-SA"/>
        </w:rPr>
        <w:t>、挥发性有机物排放标准第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部分：有机化工行业</w:t>
      </w:r>
    </w:p>
    <w:p>
      <w:pPr>
        <w:framePr w:w="9110" w:x="1798" w:y="27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DB37/2801.6-2018</w:t>
      </w:r>
      <w:r>
        <w:rPr>
          <w:rFonts w:ascii="SimSun" w:hAnsi="SimSun" w:eastAsiaTheme="minorEastAsia" w:cs="SimSun"/>
          <w:color w:val="000000"/>
          <w:sz w:val="21"/>
          <w:szCs w:val="22"/>
          <w:lang w:val="en-US" w:eastAsia="en-US" w:bidi="ar-SA"/>
        </w:rPr>
        <w:t>）、恶臭污染物排放标准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GB14554-93</w:t>
      </w:r>
      <w:r>
        <w:rPr>
          <w:rFonts w:ascii="SimSun" w:hAnsi="SimSun" w:eastAsiaTheme="minorEastAsia" w:cs="SimSun"/>
          <w:color w:val="000000"/>
          <w:sz w:val="21"/>
          <w:szCs w:val="22"/>
          <w:lang w:val="en-US" w:eastAsia="en-US" w:bidi="ar-SA"/>
        </w:rPr>
        <w:t>。</w:t>
      </w:r>
    </w:p>
    <w:p>
      <w:pPr>
        <w:framePr w:w="9076"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大气排放口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5"/>
          <w:sz w:val="21"/>
          <w:szCs w:val="22"/>
          <w:lang w:val="en-US" w:eastAsia="en-US" w:bidi="ar-SA"/>
        </w:rPr>
        <w:t>个、主要排放口</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pacing w:val="-5"/>
          <w:sz w:val="21"/>
          <w:szCs w:val="22"/>
          <w:lang w:val="en-US" w:eastAsia="en-US" w:bidi="ar-SA"/>
        </w:rPr>
        <w:t>个，一般排放口</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pacing w:val="-9"/>
          <w:sz w:val="21"/>
          <w:szCs w:val="22"/>
          <w:lang w:val="en-US" w:eastAsia="en-US" w:bidi="ar-SA"/>
        </w:rPr>
        <w:t>个，分布情况：经度</w:t>
      </w:r>
      <w:r>
        <w:rPr>
          <w:rFonts w:eastAsiaTheme="minorEastAsia" w:hAnsiTheme="minorHAnsi" w:cstheme="minorBidi"/>
          <w:color w:val="000000"/>
          <w:spacing w:val="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0"/>
          <w:sz w:val="21"/>
          <w:szCs w:val="22"/>
          <w:lang w:val="en-US" w:eastAsia="en-US" w:bidi="ar-SA"/>
        </w:rPr>
        <w:t>′、纬度</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z w:val="21"/>
          <w:szCs w:val="22"/>
          <w:lang w:val="en-US" w:eastAsia="en-US" w:bidi="ar-SA"/>
        </w:rPr>
        <w:t>°</w:t>
      </w:r>
    </w:p>
    <w:p>
      <w:pPr>
        <w:framePr w:w="9076"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p>
    <w:p>
      <w:pPr>
        <w:framePr w:w="9427" w:x="1798" w:y="5213"/>
        <w:widowControl w:val="0"/>
        <w:autoSpaceDE w:val="0"/>
        <w:autoSpaceDN w:val="0"/>
        <w:spacing w:line="211" w:lineRule="exact"/>
        <w:ind w:left="48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主要气体污染物核定的排放总量和浓度：颗粒物</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1.809t/a</w:t>
      </w:r>
      <w:r>
        <w:rPr>
          <w:rFonts w:ascii="SimSun" w:hAnsi="SimSun" w:eastAsiaTheme="minorEastAsia" w:cs="SimSun"/>
          <w:color w:val="000000"/>
          <w:sz w:val="21"/>
          <w:szCs w:val="22"/>
          <w:lang w:val="en-US" w:eastAsia="en-US" w:bidi="ar-SA"/>
        </w:rPr>
        <w:t>、颗粒物</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10mg/Nm3</w:t>
      </w:r>
      <w:r>
        <w:rPr>
          <w:rFonts w:ascii="SimSun" w:hAnsi="SimSun" w:eastAsiaTheme="minorEastAsia" w:cs="SimSun"/>
          <w:color w:val="000000"/>
          <w:spacing w:val="1"/>
          <w:sz w:val="21"/>
          <w:szCs w:val="22"/>
          <w:lang w:val="en-US" w:eastAsia="en-US" w:bidi="ar-SA"/>
        </w:rPr>
        <w:t>；二氧化硫</w:t>
      </w:r>
    </w:p>
    <w:p>
      <w:pPr>
        <w:framePr w:w="9427"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8.82t/a</w:t>
      </w:r>
      <w:r>
        <w:rPr>
          <w:rFonts w:ascii="SimSun" w:hAnsi="SimSun" w:eastAsiaTheme="minorEastAsia" w:cs="SimSun"/>
          <w:color w:val="000000"/>
          <w:spacing w:val="-21"/>
          <w:sz w:val="21"/>
          <w:szCs w:val="22"/>
          <w:lang w:val="en-US" w:eastAsia="en-US" w:bidi="ar-SA"/>
        </w:rPr>
        <w:t>、二氧化硫</w:t>
      </w:r>
      <w:r>
        <w:rPr>
          <w:rFonts w:ascii="SimSun" w:eastAsiaTheme="minorEastAsia" w:hAnsiTheme="minorHAnsi" w:cstheme="minorBidi"/>
          <w:color w:val="000000"/>
          <w:sz w:val="21"/>
          <w:szCs w:val="22"/>
          <w:lang w:val="en-US" w:eastAsia="en-US" w:bidi="ar-SA"/>
        </w:rPr>
        <w:t>50mg/Nm3</w:t>
      </w:r>
      <w:r>
        <w:rPr>
          <w:rFonts w:ascii="SimSun" w:hAnsi="SimSun" w:eastAsiaTheme="minorEastAsia" w:cs="SimSun"/>
          <w:color w:val="000000"/>
          <w:spacing w:val="-21"/>
          <w:sz w:val="21"/>
          <w:szCs w:val="22"/>
          <w:lang w:val="en-US" w:eastAsia="en-US" w:bidi="ar-SA"/>
        </w:rPr>
        <w:t>；氮氧化物</w:t>
      </w:r>
      <w:r>
        <w:rPr>
          <w:rFonts w:ascii="SimSun" w:eastAsiaTheme="minorEastAsia" w:hAnsiTheme="minorHAnsi" w:cstheme="minorBidi"/>
          <w:color w:val="000000"/>
          <w:sz w:val="21"/>
          <w:szCs w:val="22"/>
          <w:lang w:val="en-US" w:eastAsia="en-US" w:bidi="ar-SA"/>
        </w:rPr>
        <w:t>17.64t/a</w:t>
      </w:r>
      <w:r>
        <w:rPr>
          <w:rFonts w:ascii="SimSun" w:hAnsi="SimSun" w:eastAsiaTheme="minorEastAsia" w:cs="SimSun"/>
          <w:color w:val="000000"/>
          <w:spacing w:val="-21"/>
          <w:sz w:val="21"/>
          <w:szCs w:val="22"/>
          <w:lang w:val="en-US" w:eastAsia="en-US" w:bidi="ar-SA"/>
        </w:rPr>
        <w:t>、氮氧化物</w:t>
      </w:r>
      <w:r>
        <w:rPr>
          <w:rFonts w:ascii="SimSun" w:eastAsiaTheme="minorEastAsia" w:hAnsiTheme="minorHAnsi" w:cstheme="minorBidi"/>
          <w:color w:val="000000"/>
          <w:sz w:val="21"/>
          <w:szCs w:val="22"/>
          <w:lang w:val="en-US" w:eastAsia="en-US" w:bidi="ar-SA"/>
        </w:rPr>
        <w:t>100mg/Nm3</w:t>
      </w:r>
      <w:r>
        <w:rPr>
          <w:rFonts w:ascii="SimSun" w:hAnsi="SimSun" w:eastAsiaTheme="minorEastAsia" w:cs="SimSun"/>
          <w:color w:val="000000"/>
          <w:spacing w:val="-15"/>
          <w:sz w:val="21"/>
          <w:szCs w:val="22"/>
          <w:lang w:val="en-US" w:eastAsia="en-US" w:bidi="ar-SA"/>
        </w:rPr>
        <w:t>；挥发性有机物</w:t>
      </w:r>
      <w:r>
        <w:rPr>
          <w:rFonts w:ascii="SimSun" w:eastAsiaTheme="minorEastAsia" w:hAnsiTheme="minorHAnsi" w:cstheme="minorBidi"/>
          <w:color w:val="000000"/>
          <w:sz w:val="21"/>
          <w:szCs w:val="22"/>
          <w:lang w:val="en-US" w:eastAsia="en-US" w:bidi="ar-SA"/>
        </w:rPr>
        <w:t>25.668t/a</w:t>
      </w:r>
      <w:r>
        <w:rPr>
          <w:rFonts w:ascii="SimSun" w:hAnsi="SimSun" w:eastAsiaTheme="minorEastAsia" w:cs="SimSun"/>
          <w:color w:val="000000"/>
          <w:sz w:val="21"/>
          <w:szCs w:val="22"/>
          <w:lang w:val="en-US" w:eastAsia="en-US" w:bidi="ar-SA"/>
        </w:rPr>
        <w:t>、</w:t>
      </w:r>
    </w:p>
    <w:p>
      <w:pPr>
        <w:framePr w:w="9427"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挥发性有机物</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60mg/Nm3</w:t>
      </w:r>
      <w:r>
        <w:rPr>
          <w:rFonts w:ascii="SimSun" w:hAnsi="SimSun" w:eastAsiaTheme="minorEastAsia" w:cs="SimSun"/>
          <w:color w:val="000000"/>
          <w:sz w:val="21"/>
          <w:szCs w:val="22"/>
          <w:lang w:val="en-US" w:eastAsia="en-US" w:bidi="ar-SA"/>
        </w:rPr>
        <w:t>。</w:t>
      </w:r>
    </w:p>
    <w:p>
      <w:pPr>
        <w:framePr w:w="9216"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报告期内主要气体污染物排放总量及浓度：颗粒物总量</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0.60089t</w:t>
      </w:r>
      <w:r>
        <w:rPr>
          <w:rFonts w:ascii="SimSun" w:hAnsi="SimSun" w:eastAsiaTheme="minorEastAsia" w:cs="SimSun"/>
          <w:color w:val="000000"/>
          <w:spacing w:val="-10"/>
          <w:sz w:val="21"/>
          <w:szCs w:val="22"/>
          <w:lang w:val="en-US" w:eastAsia="en-US" w:bidi="ar-SA"/>
        </w:rPr>
        <w:t>，浓度</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4mg/Nm3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7"/>
          <w:sz w:val="21"/>
          <w:szCs w:val="22"/>
          <w:lang w:val="en-US" w:eastAsia="en-US" w:bidi="ar-SA"/>
        </w:rPr>
        <w:t>；二氧化硫</w:t>
      </w:r>
    </w:p>
    <w:p>
      <w:pPr>
        <w:framePr w:w="9216" w:x="1798" w:y="6439"/>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总量</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0.473t</w:t>
      </w:r>
      <w:r>
        <w:rPr>
          <w:rFonts w:ascii="SimSun" w:hAnsi="SimSun" w:eastAsiaTheme="minorEastAsia" w:cs="SimSun"/>
          <w:color w:val="000000"/>
          <w:spacing w:val="-34"/>
          <w:sz w:val="21"/>
          <w:szCs w:val="22"/>
          <w:lang w:val="en-US" w:eastAsia="en-US" w:bidi="ar-SA"/>
        </w:rPr>
        <w:t>，浓度</w:t>
      </w:r>
      <w:r>
        <w:rPr>
          <w:rFonts w:eastAsiaTheme="minorEastAsia" w:hAnsiTheme="minorHAnsi" w:cstheme="minorBidi"/>
          <w:color w:val="000000"/>
          <w:spacing w:val="3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10.6</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mg/Nm3</w:t>
      </w:r>
      <w:r>
        <w:rPr>
          <w:rFonts w:ascii="SimSun" w:hAnsi="SimSun" w:eastAsiaTheme="minorEastAsia" w:cs="SimSun"/>
          <w:color w:val="000000"/>
          <w:spacing w:val="-14"/>
          <w:sz w:val="21"/>
          <w:szCs w:val="22"/>
          <w:lang w:val="en-US" w:eastAsia="en-US" w:bidi="ar-SA"/>
        </w:rPr>
        <w:t>；氮氧化物总量</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1.348t</w:t>
      </w:r>
      <w:r>
        <w:rPr>
          <w:rFonts w:ascii="SimSun" w:hAnsi="SimSun" w:eastAsiaTheme="minorEastAsia" w:cs="SimSun"/>
          <w:color w:val="000000"/>
          <w:spacing w:val="-51"/>
          <w:sz w:val="21"/>
          <w:szCs w:val="22"/>
          <w:lang w:val="en-US" w:eastAsia="en-US" w:bidi="ar-SA"/>
        </w:rPr>
        <w:t>，浓</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31mg/Nm3</w:t>
      </w:r>
      <w:r>
        <w:rPr>
          <w:rFonts w:ascii="SimSun" w:hAnsi="SimSun" w:eastAsiaTheme="minorEastAsia" w:cs="SimSun"/>
          <w:color w:val="000000"/>
          <w:spacing w:val="-11"/>
          <w:sz w:val="21"/>
          <w:szCs w:val="22"/>
          <w:lang w:val="en-US" w:eastAsia="en-US" w:bidi="ar-SA"/>
        </w:rPr>
        <w:t>；挥发性有机物总量</w:t>
      </w:r>
      <w:r>
        <w:rPr>
          <w:rFonts w:eastAsiaTheme="minorEastAsia" w:hAnsiTheme="minorHAnsi" w:cstheme="minorBidi"/>
          <w:color w:val="000000"/>
          <w:spacing w:val="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1.3175t</w:t>
      </w:r>
    </w:p>
    <w:p>
      <w:pPr>
        <w:framePr w:w="9216"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浓度</w:t>
      </w:r>
      <w:r>
        <w:rPr>
          <w:rFonts w:eastAsiaTheme="minorEastAsia" w:hAnsiTheme="minorHAnsi" w:cstheme="minorBidi"/>
          <w:color w:val="000000"/>
          <w:spacing w:val="5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11.01mg/Nm3</w:t>
      </w:r>
      <w:r>
        <w:rPr>
          <w:rFonts w:ascii="SimSun" w:hAnsi="SimSun" w:eastAsiaTheme="minorEastAsia" w:cs="SimSun"/>
          <w:color w:val="000000"/>
          <w:sz w:val="21"/>
          <w:szCs w:val="22"/>
          <w:lang w:val="en-US" w:eastAsia="en-US" w:bidi="ar-SA"/>
        </w:rPr>
        <w:t>。上述废气排放未超过排污许可证的总量。</w:t>
      </w:r>
    </w:p>
    <w:p>
      <w:pPr>
        <w:framePr w:w="3617" w:x="1798" w:y="77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防治污染设施的建设和运行情况</w:t>
      </w:r>
    </w:p>
    <w:p>
      <w:pPr>
        <w:framePr w:w="1817" w:x="1798" w:y="8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80" w:x="2218" w:y="83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w:t>
      </w:r>
      <w:r>
        <w:rPr>
          <w:rFonts w:ascii="SimSun" w:hAnsi="SimSun" w:eastAsiaTheme="minorEastAsia" w:cs="SimSun"/>
          <w:color w:val="000000"/>
          <w:sz w:val="21"/>
          <w:szCs w:val="22"/>
          <w:lang w:val="en-US" w:eastAsia="en-US" w:bidi="ar-SA"/>
        </w:rPr>
        <w:t>、公司环保设施主要有：</w:t>
      </w:r>
    </w:p>
    <w:p>
      <w:pPr>
        <w:framePr w:w="9179" w:x="1798" w:y="87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①针对废气处理的设施：低温冷冻机、活性炭吸附床、布袋除尘器、尾气吸收塔、冷凝器、</w:t>
      </w:r>
    </w:p>
    <w:p>
      <w:pPr>
        <w:framePr w:w="9179" w:x="1798" w:y="87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蓄热焚烧炉等；②针对废水处理的设施：精馏塔、</w:t>
      </w:r>
      <w:r>
        <w:rPr>
          <w:rFonts w:ascii="SimSun" w:eastAsiaTheme="minorEastAsia" w:hAnsiTheme="minorHAnsi" w:cstheme="minorBidi"/>
          <w:color w:val="000000"/>
          <w:sz w:val="21"/>
          <w:szCs w:val="22"/>
          <w:lang w:val="en-US" w:eastAsia="en-US" w:bidi="ar-SA"/>
        </w:rPr>
        <w:t>MVR</w:t>
      </w:r>
      <w:r>
        <w:rPr>
          <w:rFonts w:ascii="SimSun" w:hAnsi="SimSun" w:eastAsiaTheme="minorEastAsia" w:cs="SimSun"/>
          <w:color w:val="000000"/>
          <w:sz w:val="21"/>
          <w:szCs w:val="22"/>
          <w:lang w:val="en-US" w:eastAsia="en-US" w:bidi="ar-SA"/>
        </w:rPr>
        <w:t>机械蒸发、三效蒸发、污水处理站等；</w:t>
      </w:r>
    </w:p>
    <w:p>
      <w:pPr>
        <w:framePr w:w="9179" w:x="1798" w:y="87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③针对废渣处理的设施：委托有资质的第三方机构予以处理。</w:t>
      </w:r>
    </w:p>
    <w:p>
      <w:pPr>
        <w:framePr w:w="9069" w:x="1798" w:y="996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其他各生产装置也都按照环评文件或批复文件要求配套建设了污染治理设施，报告期内全部</w:t>
      </w:r>
    </w:p>
    <w:p>
      <w:pPr>
        <w:framePr w:w="9069" w:x="1798" w:y="996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稳定运行，实现环保治理设施安全环保零事故。</w:t>
      </w:r>
    </w:p>
    <w:p>
      <w:pPr>
        <w:framePr w:w="9110" w:x="1798" w:y="109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pacing w:val="-2"/>
          <w:sz w:val="21"/>
          <w:szCs w:val="22"/>
          <w:lang w:val="en-US" w:eastAsia="en-US" w:bidi="ar-SA"/>
        </w:rPr>
        <w:t>、潍坊先达环保设施主要有：①针对废气处理的设施：水吸收塔、液碱吸收塔、活性炭吸</w:t>
      </w:r>
    </w:p>
    <w:p>
      <w:pPr>
        <w:framePr w:w="9110" w:x="1798" w:y="109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附器、冷凝器、低温等离子、急冷塔、洗涤塔、布袋除尘、</w:t>
      </w:r>
      <w:r>
        <w:rPr>
          <w:rFonts w:ascii="SimSun" w:eastAsiaTheme="minorEastAsia" w:hAnsiTheme="minorHAnsi" w:cstheme="minorBidi"/>
          <w:color w:val="000000"/>
          <w:spacing w:val="1"/>
          <w:sz w:val="21"/>
          <w:szCs w:val="22"/>
          <w:lang w:val="en-US" w:eastAsia="en-US" w:bidi="ar-SA"/>
        </w:rPr>
        <w:t>RTO</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蓄热氧化炉等；②针对废水处理</w:t>
      </w:r>
    </w:p>
    <w:p>
      <w:pPr>
        <w:framePr w:w="9110" w:x="1798" w:y="109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的设施：精馏塔、三效蒸发、四效蒸发、</w:t>
      </w:r>
      <w:r>
        <w:rPr>
          <w:rFonts w:ascii="SimSun" w:eastAsiaTheme="minorEastAsia" w:hAnsiTheme="minorHAnsi" w:cstheme="minorBidi"/>
          <w:color w:val="000000"/>
          <w:spacing w:val="-1"/>
          <w:sz w:val="21"/>
          <w:szCs w:val="22"/>
          <w:lang w:val="en-US" w:eastAsia="en-US" w:bidi="ar-SA"/>
        </w:rPr>
        <w:t>MVR</w:t>
      </w:r>
      <w:r>
        <w:rPr>
          <w:rFonts w:ascii="SimSun" w:hAnsi="SimSun" w:eastAsiaTheme="minorEastAsia" w:cs="SimSun"/>
          <w:color w:val="000000"/>
          <w:spacing w:val="-2"/>
          <w:sz w:val="21"/>
          <w:szCs w:val="22"/>
          <w:lang w:val="en-US" w:eastAsia="en-US" w:bidi="ar-SA"/>
        </w:rPr>
        <w:t>、厌氧</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好氧、</w:t>
      </w:r>
      <w:r>
        <w:rPr>
          <w:rFonts w:ascii="SimSun" w:eastAsiaTheme="minorEastAsia" w:hAnsiTheme="minorHAnsi" w:cstheme="minorBidi"/>
          <w:color w:val="000000"/>
          <w:sz w:val="21"/>
          <w:szCs w:val="22"/>
          <w:lang w:val="en-US" w:eastAsia="en-US" w:bidi="ar-SA"/>
        </w:rPr>
        <w:t>IC+SBR</w:t>
      </w:r>
      <w:r>
        <w:rPr>
          <w:rFonts w:ascii="SimSun" w:hAnsi="SimSun" w:eastAsiaTheme="minorEastAsia" w:cs="SimSun"/>
          <w:color w:val="000000"/>
          <w:spacing w:val="-1"/>
          <w:sz w:val="21"/>
          <w:szCs w:val="22"/>
          <w:lang w:val="en-US" w:eastAsia="en-US" w:bidi="ar-SA"/>
        </w:rPr>
        <w:t>生化处理站等；③针对危废处</w:t>
      </w:r>
    </w:p>
    <w:p>
      <w:pPr>
        <w:framePr w:w="9110" w:x="1798" w:y="10902"/>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理的设施，危废全部委托有资质的第三方机构予以处理。④新增二氯甲烷吸附器于</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pacing w:val="-1"/>
          <w:sz w:val="21"/>
          <w:szCs w:val="22"/>
          <w:lang w:val="en-US" w:eastAsia="en-US" w:bidi="ar-SA"/>
        </w:rPr>
        <w:t>月建</w:t>
      </w:r>
    </w:p>
    <w:p>
      <w:pPr>
        <w:framePr w:w="9110" w:x="1798" w:y="109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设，已于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7</w:t>
      </w:r>
      <w:r>
        <w:rPr>
          <w:rFonts w:ascii="SimSun" w:hAnsi="SimSun" w:eastAsiaTheme="minorEastAsia" w:cs="SimSun"/>
          <w:color w:val="000000"/>
          <w:sz w:val="21"/>
          <w:szCs w:val="22"/>
          <w:lang w:val="en-US" w:eastAsia="en-US" w:bidi="ar-SA"/>
        </w:rPr>
        <w:t>月投入使用。报告期内，各项环保设施运行基本正常。</w:t>
      </w:r>
    </w:p>
    <w:p>
      <w:pPr>
        <w:framePr w:w="5513" w:x="1798"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建设项目环境影响评价及其他环境保护行政许可情况</w:t>
      </w:r>
    </w:p>
    <w:p>
      <w:pPr>
        <w:framePr w:w="1817" w:x="1798" w:y="1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9" w:x="1798" w:y="138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公司及潍坊先达均取得了方圆标志认证集团有限公司颁发的《环境管理体系认证证书》，认</w:t>
      </w:r>
    </w:p>
    <w:p>
      <w:pPr>
        <w:framePr w:w="9069" w:x="1798" w:y="138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定公司及潍坊先达建立的环境管理体系符合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GB/T24001-2016/ISO14001:2015</w:t>
      </w:r>
      <w:r>
        <w:rPr>
          <w:rFonts w:ascii="SimSun" w:hAnsi="SimSun" w:eastAsiaTheme="minorEastAsia" w:cs="SimSun"/>
          <w:color w:val="000000"/>
          <w:spacing w:val="1"/>
          <w:sz w:val="21"/>
          <w:szCs w:val="22"/>
          <w:lang w:val="en-US" w:eastAsia="en-US" w:bidi="ar-SA"/>
        </w:rPr>
        <w:t>标准。</w:t>
      </w:r>
    </w:p>
    <w:p>
      <w:pPr>
        <w:framePr w:w="9069" w:x="1798" w:y="1382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公司及潍坊先达均按要求取得了排污许可证，公司持有滨州市环保局核发的《排污许可证》</w:t>
      </w:r>
    </w:p>
    <w:p>
      <w:pPr>
        <w:framePr w:w="9064" w:x="1798" w:y="150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（编号：</w:t>
      </w:r>
      <w:r>
        <w:rPr>
          <w:rFonts w:ascii="SimSun" w:eastAsiaTheme="minorEastAsia" w:hAnsiTheme="minorHAnsi" w:cstheme="minorBidi"/>
          <w:color w:val="000000"/>
          <w:sz w:val="21"/>
          <w:szCs w:val="22"/>
          <w:lang w:val="en-US" w:eastAsia="en-US" w:bidi="ar-SA"/>
        </w:rPr>
        <w:t>913700007433656097001P</w:t>
      </w:r>
      <w:r>
        <w:rPr>
          <w:rFonts w:ascii="SimSun" w:hAnsi="SimSun" w:eastAsiaTheme="minorEastAsia" w:cs="SimSun"/>
          <w:color w:val="000000"/>
          <w:sz w:val="21"/>
          <w:szCs w:val="22"/>
          <w:lang w:val="en-US" w:eastAsia="en-US" w:bidi="ar-SA"/>
        </w:rPr>
        <w:t>），有效期至</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日；潍坊先达持有潍坊市环</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5" type="#_x0000_t75" style="width:445.6pt;height:2.7pt;margin-top:53.3pt;margin-left:87.45pt;mso-position-horizontal-relative:page;mso-position-vertical-relative:page;position:absolute;z-index:-2516326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6" w:name="br1_25"/>
      <w:bookmarkEnd w:id="26"/>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7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保局核发的《排污许可证》（编号：</w:t>
      </w:r>
      <w:r>
        <w:rPr>
          <w:rFonts w:ascii="SimSun" w:eastAsiaTheme="minorEastAsia" w:hAnsiTheme="minorHAnsi" w:cstheme="minorBidi"/>
          <w:color w:val="000000"/>
          <w:sz w:val="21"/>
          <w:szCs w:val="22"/>
          <w:lang w:val="en-US" w:eastAsia="en-US" w:bidi="ar-SA"/>
        </w:rPr>
        <w:t>91370700789293364L001P</w:t>
      </w:r>
      <w:r>
        <w:rPr>
          <w:rFonts w:ascii="SimSun" w:hAnsi="SimSun" w:eastAsiaTheme="minorEastAsia" w:cs="SimSun"/>
          <w:color w:val="000000"/>
          <w:spacing w:val="-4"/>
          <w:sz w:val="21"/>
          <w:szCs w:val="22"/>
          <w:lang w:val="en-US" w:eastAsia="en-US" w:bidi="ar-SA"/>
        </w:rPr>
        <w:t>）有效期至</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pacing w:val="-8"/>
          <w:sz w:val="21"/>
          <w:szCs w:val="22"/>
          <w:lang w:val="en-US" w:eastAsia="en-US" w:bidi="ar-SA"/>
        </w:rPr>
        <w:t>日。潍</w:t>
      </w:r>
    </w:p>
    <w:p>
      <w:pPr>
        <w:framePr w:w="907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坊先达自动化提升及环保储存设施改造项目于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pacing w:val="-6"/>
          <w:sz w:val="21"/>
          <w:szCs w:val="22"/>
          <w:lang w:val="en-US" w:eastAsia="en-US" w:bidi="ar-SA"/>
        </w:rPr>
        <w:t>日取得备案，备案表文号：潍滨环表</w:t>
      </w:r>
    </w:p>
    <w:p>
      <w:pPr>
        <w:framePr w:w="9076"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审（</w:t>
      </w:r>
      <w:r>
        <w:rPr>
          <w:rFonts w:ascii="SimSun" w:eastAsiaTheme="minorEastAsia" w:hAnsiTheme="minorHAnsi" w:cstheme="minorBidi"/>
          <w:color w:val="000000"/>
          <w:sz w:val="21"/>
          <w:szCs w:val="22"/>
          <w:lang w:val="en-US" w:eastAsia="en-US" w:bidi="ar-SA"/>
        </w:rPr>
        <w:t>20042</w:t>
      </w:r>
      <w:r>
        <w:rPr>
          <w:rFonts w:ascii="SimSun" w:hAnsi="SimSun" w:eastAsiaTheme="minorEastAsia" w:cs="SimSun"/>
          <w:color w:val="000000"/>
          <w:sz w:val="21"/>
          <w:szCs w:val="22"/>
          <w:lang w:val="en-US" w:eastAsia="en-US" w:bidi="ar-SA"/>
        </w:rPr>
        <w:t>）</w:t>
      </w:r>
    </w:p>
    <w:p>
      <w:pPr>
        <w:framePr w:w="2774" w:x="1798" w:y="2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突发环境事件应急预案</w:t>
      </w:r>
    </w:p>
    <w:p>
      <w:pPr>
        <w:framePr w:w="1817" w:x="1798" w:y="3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596" w:x="2218" w:y="34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w:t>
      </w:r>
      <w:r>
        <w:rPr>
          <w:rFonts w:ascii="SimSun" w:hAnsi="SimSun" w:eastAsiaTheme="minorEastAsia" w:cs="SimSun"/>
          <w:color w:val="000000"/>
          <w:sz w:val="21"/>
          <w:szCs w:val="22"/>
          <w:lang w:val="en-US" w:eastAsia="en-US" w:bidi="ar-SA"/>
        </w:rPr>
        <w:t>公司按照《企业突发环境事件风险评估指南》，结合自身重要环境影响因素制订了环境</w:t>
      </w:r>
    </w:p>
    <w:p>
      <w:pPr>
        <w:framePr w:w="9110" w:x="1798" w:y="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污染事件应急救援预案，根据《突发环境事件应急预案备案管理办法》要求，公司配备了相应的</w:t>
      </w:r>
    </w:p>
    <w:p>
      <w:pPr>
        <w:framePr w:w="9110" w:x="1798" w:y="38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应急资源，每年组织定期进行环保防治预案的制定和演练。</w:t>
      </w:r>
    </w:p>
    <w:p>
      <w:pPr>
        <w:framePr w:w="9078" w:x="1798" w:y="467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根据《突发环境事件应急预案备案管理办法》要求，公司及潍坊先达突发环境事件应急</w:t>
      </w:r>
    </w:p>
    <w:p>
      <w:pPr>
        <w:framePr w:w="9078" w:x="1798" w:y="46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预案分别</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w:t>
      </w:r>
      <w:r>
        <w:rPr>
          <w:rFonts w:ascii="SimSun" w:eastAsiaTheme="minorEastAsia" w:hAnsiTheme="minorHAnsi" w:cstheme="minorBidi"/>
          <w:color w:val="000000"/>
          <w:spacing w:val="-4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w:t>
      </w:r>
      <w:r>
        <w:rPr>
          <w:rFonts w:ascii="SimSun" w:eastAsiaTheme="minorEastAsia" w:hAnsiTheme="minorHAnsi" w:cstheme="minorBidi"/>
          <w:color w:val="000000"/>
          <w:spacing w:val="-42"/>
          <w:sz w:val="21"/>
          <w:szCs w:val="22"/>
          <w:lang w:val="en-US" w:eastAsia="en-US" w:bidi="ar-SA"/>
        </w:rPr>
        <w:t xml:space="preserve"> </w:t>
      </w:r>
      <w:r>
        <w:rPr>
          <w:rFonts w:ascii="SimSun" w:hAnsi="SimSun" w:eastAsiaTheme="minorEastAsia" w:cs="SimSun"/>
          <w:color w:val="000000"/>
          <w:sz w:val="21"/>
          <w:szCs w:val="22"/>
          <w:lang w:val="en-US" w:eastAsia="en-US" w:bidi="ar-SA"/>
        </w:rPr>
        <w:t>月分别于在滨州市生态环境局博兴分局和潍坊市生态环境局滨</w:t>
      </w:r>
    </w:p>
    <w:p>
      <w:pPr>
        <w:framePr w:w="9078" w:x="1798" w:y="46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海分局进行备案。备案号</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371625-2019-053-M</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370703-2018-046-M,</w:t>
      </w:r>
      <w:r>
        <w:rPr>
          <w:rFonts w:ascii="SimSun" w:hAnsi="SimSun" w:eastAsiaTheme="minorEastAsia" w:cs="SimSun"/>
          <w:color w:val="000000"/>
          <w:spacing w:val="1"/>
          <w:sz w:val="21"/>
          <w:szCs w:val="22"/>
          <w:lang w:val="en-US" w:eastAsia="en-US" w:bidi="ar-SA"/>
        </w:rPr>
        <w:t>并按照预案要求及时开展了</w:t>
      </w:r>
    </w:p>
    <w:p>
      <w:pPr>
        <w:framePr w:w="9078" w:x="1798" w:y="467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应急演练。</w:t>
      </w:r>
    </w:p>
    <w:p>
      <w:pPr>
        <w:framePr w:w="2354" w:x="1798" w:y="6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环境自行监测方案</w:t>
      </w:r>
    </w:p>
    <w:p>
      <w:pPr>
        <w:framePr w:w="1817" w:x="1798" w:y="66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71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公司依据排污许可证的要求制定了年度环境监测计划，委托第三方环境检测单位定期对</w:t>
      </w:r>
    </w:p>
    <w:p>
      <w:pPr>
        <w:framePr w:w="9110" w:x="1798" w:y="71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废水、废气、噪声等指标进行取样检测，委托</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LDAR</w:t>
      </w:r>
      <w:r>
        <w:rPr>
          <w:rFonts w:ascii="SimSun" w:hAnsi="SimSun" w:eastAsiaTheme="minorEastAsia" w:cs="SimSun"/>
          <w:color w:val="000000"/>
          <w:sz w:val="21"/>
          <w:szCs w:val="22"/>
          <w:lang w:val="en-US" w:eastAsia="en-US" w:bidi="ar-SA"/>
        </w:rPr>
        <w:t>（泄露检测与修复）检测单位对泄露点</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VOC</w:t>
      </w:r>
      <w:r>
        <w:rPr>
          <w:rFonts w:ascii="SimSun" w:hAnsi="SimSun" w:eastAsiaTheme="minorEastAsia" w:cs="SimSun"/>
          <w:color w:val="000000"/>
          <w:sz w:val="21"/>
          <w:szCs w:val="22"/>
          <w:lang w:val="en-US" w:eastAsia="en-US" w:bidi="ar-SA"/>
        </w:rPr>
        <w:t>挥</w:t>
      </w:r>
    </w:p>
    <w:p>
      <w:pPr>
        <w:framePr w:w="9110" w:x="1798" w:y="71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发检测，并按要求在公司网站及时发布。公司按照《排污单位自行监测技术指南总则》的技术方</w:t>
      </w:r>
    </w:p>
    <w:p>
      <w:pPr>
        <w:framePr w:w="9110" w:x="1798" w:y="71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法的要求对公司废水总排口</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COD</w:t>
      </w:r>
      <w:r>
        <w:rPr>
          <w:rFonts w:ascii="SimSun" w:hAnsi="SimSun" w:eastAsiaTheme="minorEastAsia" w:cs="SimSun"/>
          <w:color w:val="000000"/>
          <w:sz w:val="21"/>
          <w:szCs w:val="22"/>
          <w:lang w:val="en-US" w:eastAsia="en-US" w:bidi="ar-SA"/>
        </w:rPr>
        <w:t>和氨氮等排放因子每天进行检测。</w:t>
      </w:r>
    </w:p>
    <w:p>
      <w:pPr>
        <w:framePr w:w="9110" w:x="1798" w:y="874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潍坊先达根据《排污许可证申请与核发技术规范</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3"/>
          <w:sz w:val="21"/>
          <w:szCs w:val="22"/>
          <w:lang w:val="en-US" w:eastAsia="en-US" w:bidi="ar-SA"/>
        </w:rPr>
        <w:t>农药制造工业》（</w:t>
      </w:r>
      <w:r>
        <w:rPr>
          <w:rFonts w:ascii="SimSun" w:eastAsiaTheme="minorEastAsia" w:hAnsiTheme="minorHAnsi" w:cstheme="minorBidi"/>
          <w:color w:val="000000"/>
          <w:sz w:val="21"/>
          <w:szCs w:val="22"/>
          <w:lang w:val="en-US" w:eastAsia="en-US" w:bidi="ar-SA"/>
        </w:rPr>
        <w:t>HJ862-2017</w:t>
      </w:r>
      <w:r>
        <w:rPr>
          <w:rFonts w:ascii="SimSun" w:hAnsi="SimSun" w:eastAsiaTheme="minorEastAsia" w:cs="SimSun"/>
          <w:color w:val="000000"/>
          <w:sz w:val="21"/>
          <w:szCs w:val="22"/>
          <w:lang w:val="en-US" w:eastAsia="en-US" w:bidi="ar-SA"/>
        </w:rPr>
        <w:t>）要求制</w:t>
      </w:r>
    </w:p>
    <w:p>
      <w:pPr>
        <w:framePr w:w="9110" w:x="1798" w:y="874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定了企业环境自行监测方案，对排放污染物的监测指标、监测点位、监测频次、监测方法、执行</w:t>
      </w:r>
    </w:p>
    <w:p>
      <w:pPr>
        <w:framePr w:w="9110" w:x="1798" w:y="87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排放标准及标准限值等进行了明确规定，并在山东省污染源监测信息共享系统网站上进行了信息</w:t>
      </w:r>
    </w:p>
    <w:p>
      <w:pPr>
        <w:framePr w:w="9110" w:x="1798" w:y="874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公开。</w:t>
      </w:r>
    </w:p>
    <w:p>
      <w:pPr>
        <w:framePr w:w="2986" w:x="1798" w:y="104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其他应当公开的环境信息</w:t>
      </w:r>
    </w:p>
    <w:p>
      <w:pPr>
        <w:framePr w:w="1817" w:x="1798" w:y="10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57" w:x="1798" w:y="1135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重点排污单位之外的公司的环保情况说明</w:t>
      </w:r>
    </w:p>
    <w:p>
      <w:pPr>
        <w:framePr w:w="1817" w:x="1798" w:y="11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12251"/>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辽宁先达一期“</w:t>
      </w:r>
      <w:r>
        <w:rPr>
          <w:rFonts w:ascii="SimSun" w:eastAsiaTheme="minorEastAsia" w:hAnsiTheme="minorHAnsi" w:cstheme="minorBidi"/>
          <w:color w:val="000000"/>
          <w:sz w:val="21"/>
          <w:szCs w:val="22"/>
          <w:lang w:val="en-US" w:eastAsia="en-US" w:bidi="ar-SA"/>
        </w:rPr>
        <w:t>6,000</w:t>
      </w:r>
      <w:r>
        <w:rPr>
          <w:rFonts w:ascii="SimSun" w:hAnsi="SimSun" w:eastAsiaTheme="minorEastAsia" w:cs="SimSun"/>
          <w:color w:val="000000"/>
          <w:sz w:val="21"/>
          <w:szCs w:val="22"/>
          <w:lang w:val="en-US" w:eastAsia="en-US" w:bidi="ar-SA"/>
        </w:rPr>
        <w:t>吨原药、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z w:val="21"/>
          <w:szCs w:val="22"/>
          <w:lang w:val="en-US" w:eastAsia="en-US" w:bidi="ar-SA"/>
        </w:rPr>
        <w:t>吨制剂项目”</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z w:val="21"/>
          <w:szCs w:val="22"/>
          <w:lang w:val="en-US" w:eastAsia="en-US" w:bidi="ar-SA"/>
        </w:rPr>
        <w:t>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w:t>
      </w:r>
      <w:r>
        <w:rPr>
          <w:rFonts w:ascii="SimSun" w:hAnsi="SimSun" w:eastAsiaTheme="minorEastAsia" w:cs="SimSun"/>
          <w:color w:val="000000"/>
          <w:sz w:val="21"/>
          <w:szCs w:val="22"/>
          <w:lang w:val="en-US" w:eastAsia="en-US" w:bidi="ar-SA"/>
        </w:rPr>
        <w:t>日取得葫环审</w:t>
      </w:r>
      <w:r>
        <w:rPr>
          <w:rFonts w:ascii="SimSun" w:eastAsiaTheme="minorEastAsia" w:hAnsiTheme="minorHAnsi" w:cstheme="minorBidi"/>
          <w:color w:val="000000"/>
          <w:sz w:val="21"/>
          <w:szCs w:val="22"/>
          <w:lang w:val="en-US" w:eastAsia="en-US" w:bidi="ar-SA"/>
        </w:rPr>
        <w:t>[2018]4</w:t>
      </w:r>
    </w:p>
    <w:p>
      <w:pPr>
        <w:framePr w:w="9078" w:x="1798" w:y="12251"/>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号环评批复；二期“年产</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pacing w:val="-1"/>
          <w:sz w:val="21"/>
          <w:szCs w:val="22"/>
          <w:lang w:val="en-US" w:eastAsia="en-US" w:bidi="ar-SA"/>
        </w:rPr>
        <w:t>吨烯草酮原药、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pacing w:val="-2"/>
          <w:sz w:val="21"/>
          <w:szCs w:val="22"/>
          <w:lang w:val="en-US" w:eastAsia="en-US" w:bidi="ar-SA"/>
        </w:rPr>
        <w:t>吨硫化碱、</w:t>
      </w:r>
      <w:r>
        <w:rPr>
          <w:rFonts w:ascii="SimSun" w:eastAsiaTheme="minorEastAsia" w:hAnsiTheme="minorHAnsi" w:cstheme="minorBidi"/>
          <w:color w:val="000000"/>
          <w:sz w:val="21"/>
          <w:szCs w:val="22"/>
          <w:lang w:val="en-US" w:eastAsia="en-US" w:bidi="ar-SA"/>
        </w:rPr>
        <w:t>9,000</w:t>
      </w:r>
      <w:r>
        <w:rPr>
          <w:rFonts w:ascii="SimSun" w:hAnsi="SimSun" w:eastAsiaTheme="minorEastAsia" w:cs="SimSun"/>
          <w:color w:val="000000"/>
          <w:spacing w:val="-1"/>
          <w:sz w:val="21"/>
          <w:szCs w:val="22"/>
          <w:lang w:val="en-US" w:eastAsia="en-US" w:bidi="ar-SA"/>
        </w:rPr>
        <w:t>吨熔融盐项目”于</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2019</w:t>
      </w:r>
    </w:p>
    <w:p>
      <w:pPr>
        <w:framePr w:w="9078" w:x="1798" w:y="1225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日取得葫环审</w:t>
      </w:r>
      <w:r>
        <w:rPr>
          <w:rFonts w:ascii="SimSun" w:eastAsiaTheme="minorEastAsia" w:hAnsiTheme="minorHAnsi" w:cstheme="minorBidi"/>
          <w:color w:val="000000"/>
          <w:sz w:val="21"/>
          <w:szCs w:val="22"/>
          <w:lang w:val="en-US" w:eastAsia="en-US" w:bidi="ar-SA"/>
        </w:rPr>
        <w:t>[2019]34</w:t>
      </w:r>
      <w:r>
        <w:rPr>
          <w:rFonts w:ascii="SimSun" w:hAnsi="SimSun" w:eastAsiaTheme="minorEastAsia" w:cs="SimSun"/>
          <w:color w:val="000000"/>
          <w:sz w:val="21"/>
          <w:szCs w:val="22"/>
          <w:lang w:val="en-US" w:eastAsia="en-US" w:bidi="ar-SA"/>
        </w:rPr>
        <w:t>号环评批复。</w:t>
      </w:r>
    </w:p>
    <w:p>
      <w:pPr>
        <w:framePr w:w="5508" w:x="1798" w:y="1351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重点排污单位之外的公司未披露环境信息的原因说明</w:t>
      </w:r>
    </w:p>
    <w:p>
      <w:pPr>
        <w:framePr w:w="1817" w:x="1798" w:y="140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931" w:x="1798" w:y="1459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四</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报告期内披露环境信息内容的后续进展或变化情况的说明</w:t>
      </w:r>
    </w:p>
    <w:p>
      <w:pPr>
        <w:framePr w:w="1817" w:x="1798" w:y="149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6" type="#_x0000_t75" style="width:445.6pt;height:2.7pt;margin-top:53.3pt;margin-left:87.45pt;mso-position-horizontal-relative:page;mso-position-vertical-relative:page;position:absolute;z-index:-2516316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27" w:name="br1_26"/>
      <w:bookmarkEnd w:id="27"/>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981"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十五、</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其他重大事项的说明</w:t>
      </w:r>
    </w:p>
    <w:p>
      <w:pPr>
        <w:framePr w:w="8672" w:x="1798" w:y="231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与上一会计期间相比，会计政策、会计估计和核算方法发生变化的情况、原因及其影响</w:t>
      </w:r>
    </w:p>
    <w:p>
      <w:pPr>
        <w:framePr w:w="1817" w:x="1798" w:y="26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827" w:x="1798" w:y="325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报告期内发生重大会计差错更正需追溯重述的情况、更正金额、原因及其影响</w:t>
      </w:r>
    </w:p>
    <w:p>
      <w:pPr>
        <w:framePr w:w="1817" w:x="1798" w:y="3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419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4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65" w:x="4002" w:y="5156"/>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第六节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普通股股份变动及股东情况</w:t>
      </w:r>
    </w:p>
    <w:p>
      <w:pPr>
        <w:framePr w:w="1956" w:x="1798" w:y="57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一、股本变动情况</w:t>
      </w:r>
    </w:p>
    <w:p>
      <w:pPr>
        <w:framePr w:w="2285" w:x="1798" w:y="620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股份变动情况表</w:t>
      </w:r>
    </w:p>
    <w:p>
      <w:pPr>
        <w:framePr w:w="2285" w:x="1798" w:y="6204"/>
        <w:widowControl w:val="0"/>
        <w:autoSpaceDE w:val="0"/>
        <w:autoSpaceDN w:val="0"/>
        <w:spacing w:before="9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股份变动情况表</w:t>
      </w:r>
    </w:p>
    <w:p>
      <w:pPr>
        <w:framePr w:w="1615" w:x="9782" w:y="68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单位：股</w:t>
      </w:r>
    </w:p>
    <w:p>
      <w:pPr>
        <w:framePr w:w="1615" w:x="9782" w:y="68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本次变动后</w:t>
      </w:r>
    </w:p>
    <w:p>
      <w:pPr>
        <w:framePr w:w="1615" w:x="9782" w:y="6888"/>
        <w:widowControl w:val="0"/>
        <w:autoSpaceDE w:val="0"/>
        <w:autoSpaceDN w:val="0"/>
        <w:spacing w:before="72" w:line="211" w:lineRule="exact"/>
        <w:ind w:left="9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1615" w:x="9782" w:y="6888"/>
        <w:widowControl w:val="0"/>
        <w:autoSpaceDE w:val="0"/>
        <w:autoSpaceDN w:val="0"/>
        <w:spacing w:before="60" w:line="211" w:lineRule="exact"/>
        <w:ind w:left="10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3716" w:x="629" w:y="7169"/>
        <w:widowControl w:val="0"/>
        <w:autoSpaceDE w:val="0"/>
        <w:autoSpaceDN w:val="0"/>
        <w:spacing w:line="211" w:lineRule="exact"/>
        <w:ind w:left="206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本次变动前</w:t>
      </w:r>
    </w:p>
    <w:p>
      <w:pPr>
        <w:framePr w:w="3716" w:x="629" w:y="7169"/>
        <w:widowControl w:val="0"/>
        <w:autoSpaceDE w:val="0"/>
        <w:autoSpaceDN w:val="0"/>
        <w:spacing w:before="72" w:line="211" w:lineRule="exact"/>
        <w:ind w:left="294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3716" w:x="629" w:y="7169"/>
        <w:widowControl w:val="0"/>
        <w:autoSpaceDE w:val="0"/>
        <w:autoSpaceDN w:val="0"/>
        <w:spacing w:before="60" w:line="211" w:lineRule="exact"/>
        <w:ind w:left="299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3716" w:x="629" w:y="71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一、有限售条件</w:t>
      </w:r>
      <w:r>
        <w:rPr>
          <w:rFonts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35.26</w:t>
      </w:r>
    </w:p>
    <w:p>
      <w:pPr>
        <w:framePr w:w="3852" w:x="5600" w:y="71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本次变动增减（＋，－）</w:t>
      </w:r>
    </w:p>
    <w:p>
      <w:pPr>
        <w:framePr w:w="3852" w:x="5600" w:y="7169"/>
        <w:widowControl w:val="0"/>
        <w:autoSpaceDE w:val="0"/>
        <w:autoSpaceDN w:val="0"/>
        <w:spacing w:before="2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公积金转股</w:t>
      </w:r>
      <w:r>
        <w:rPr>
          <w:rFonts w:eastAsiaTheme="minorEastAsia" w:hAnsiTheme="minorHAnsi" w:cstheme="minorBidi"/>
          <w:color w:val="000000"/>
          <w:spacing w:val="48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3852" w:x="5600" w:y="7169"/>
        <w:widowControl w:val="0"/>
        <w:autoSpaceDE w:val="0"/>
        <w:autoSpaceDN w:val="0"/>
        <w:spacing w:before="206" w:line="211" w:lineRule="exact"/>
        <w:ind w:left="128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-39,486,25</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w:t>
      </w:r>
    </w:p>
    <w:p>
      <w:pPr>
        <w:framePr w:w="662" w:x="4352" w:y="74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发行</w:t>
      </w:r>
    </w:p>
    <w:p>
      <w:pPr>
        <w:framePr w:w="662" w:x="4352" w:y="745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新股</w:t>
      </w:r>
    </w:p>
    <w:p>
      <w:pPr>
        <w:framePr w:w="451" w:x="5096" w:y="74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送</w:t>
      </w:r>
    </w:p>
    <w:p>
      <w:pPr>
        <w:framePr w:w="451" w:x="5096" w:y="745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w:t>
      </w:r>
    </w:p>
    <w:p>
      <w:pPr>
        <w:framePr w:w="662" w:x="2578" w:y="7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662" w:x="8469" w:y="7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小计</w:t>
      </w:r>
    </w:p>
    <w:p>
      <w:pPr>
        <w:framePr w:w="662" w:x="9746" w:y="7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346" w:x="10382" w:y="80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382" w:y="8007"/>
        <w:widowControl w:val="0"/>
        <w:autoSpaceDE w:val="0"/>
        <w:autoSpaceDN w:val="0"/>
        <w:spacing w:before="90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0382" w:y="8007"/>
        <w:widowControl w:val="0"/>
        <w:autoSpaceDE w:val="0"/>
        <w:autoSpaceDN w:val="0"/>
        <w:spacing w:before="90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1085" w:y="80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662" w:x="629" w:y="8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p>
    <w:p>
      <w:pPr>
        <w:framePr w:w="451" w:x="3036" w:y="82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346" w:x="7828" w:y="82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346" w:x="9105" w:y="82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1824" w:x="629" w:y="85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、国家持股</w:t>
      </w:r>
    </w:p>
    <w:p>
      <w:pPr>
        <w:framePr w:w="1824" w:x="629" w:y="85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3"/>
          <w:sz w:val="21"/>
          <w:szCs w:val="22"/>
          <w:lang w:val="en-US" w:eastAsia="en-US" w:bidi="ar-SA"/>
        </w:rPr>
        <w:t>、国有法人持股</w:t>
      </w:r>
    </w:p>
    <w:p>
      <w:pPr>
        <w:framePr w:w="3716" w:x="629" w:y="91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3"/>
          <w:sz w:val="21"/>
          <w:szCs w:val="22"/>
          <w:lang w:val="en-US" w:eastAsia="en-US" w:bidi="ar-SA"/>
        </w:rPr>
        <w:t>、其他内资持股</w:t>
      </w:r>
      <w:r>
        <w:rPr>
          <w:rFonts w:eastAsiaTheme="minorEastAsia" w:hAnsiTheme="minorHAnsi" w:cstheme="minorBidi"/>
          <w:color w:val="000000"/>
          <w:spacing w:val="2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35.26</w:t>
      </w:r>
    </w:p>
    <w:p>
      <w:pPr>
        <w:framePr w:w="2570" w:x="6882" w:y="91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-39,486,25</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w:t>
      </w:r>
    </w:p>
    <w:p>
      <w:pPr>
        <w:framePr w:w="346" w:x="11085" w:y="91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11085" w:y="9125"/>
        <w:widowControl w:val="0"/>
        <w:autoSpaceDE w:val="0"/>
        <w:autoSpaceDN w:val="0"/>
        <w:spacing w:before="90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2859" w:x="629" w:y="9399"/>
        <w:widowControl w:val="0"/>
        <w:autoSpaceDE w:val="0"/>
        <w:autoSpaceDN w:val="0"/>
        <w:spacing w:line="211" w:lineRule="exact"/>
        <w:ind w:left="240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2859" w:x="629" w:y="939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其中：境内非国</w:t>
      </w:r>
    </w:p>
    <w:p>
      <w:pPr>
        <w:framePr w:w="346" w:x="7828" w:y="93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346" w:x="9105" w:y="93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1296" w:x="629" w:y="9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有法人持股</w:t>
      </w:r>
    </w:p>
    <w:p>
      <w:pPr>
        <w:framePr w:w="3084" w:x="1260" w:y="102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境内自然</w:t>
      </w:r>
      <w:r>
        <w:rPr>
          <w:rFonts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35.26</w:t>
      </w:r>
    </w:p>
    <w:p>
      <w:pPr>
        <w:framePr w:w="2570" w:x="6882" w:y="102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-39,486,25</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w:t>
      </w:r>
    </w:p>
    <w:p>
      <w:pPr>
        <w:framePr w:w="874" w:x="629" w:y="105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人持股</w:t>
      </w:r>
    </w:p>
    <w:p>
      <w:pPr>
        <w:framePr w:w="451" w:x="3036" w:y="105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346" w:x="7828" w:y="105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346" w:x="9105" w:y="105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1718" w:x="629" w:y="107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、外资持股</w:t>
      </w:r>
    </w:p>
    <w:p>
      <w:pPr>
        <w:framePr w:w="1718" w:x="629" w:y="1079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其中：境外法人</w:t>
      </w:r>
    </w:p>
    <w:p>
      <w:pPr>
        <w:framePr w:w="1718" w:x="629" w:y="1079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持股</w:t>
      </w:r>
    </w:p>
    <w:p>
      <w:pPr>
        <w:framePr w:w="1714" w:x="629" w:y="11626"/>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境外自然</w:t>
      </w:r>
    </w:p>
    <w:p>
      <w:pPr>
        <w:framePr w:w="1714" w:x="629" w:y="1162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人持股</w:t>
      </w:r>
    </w:p>
    <w:p>
      <w:pPr>
        <w:framePr w:w="3716" w:x="629" w:y="121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二、无限售条件</w:t>
      </w:r>
      <w:r>
        <w:rPr>
          <w:rFonts w:eastAsiaTheme="minorEastAsia" w:hAnsiTheme="minorHAnsi" w:cstheme="minorBidi"/>
          <w:color w:val="000000"/>
          <w:spacing w:val="23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72,513,7</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64.74</w:t>
      </w:r>
    </w:p>
    <w:p>
      <w:pPr>
        <w:framePr w:w="3716" w:x="629" w:y="12184"/>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流通股份</w:t>
      </w:r>
      <w:r>
        <w:rPr>
          <w:rFonts w:eastAsiaTheme="minorEastAsia" w:hAnsiTheme="minorHAnsi" w:cstheme="minorBidi"/>
          <w:color w:val="000000"/>
          <w:spacing w:val="151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43</w:t>
      </w:r>
    </w:p>
    <w:p>
      <w:pPr>
        <w:framePr w:w="5125" w:x="5605" w:y="121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39,486,257</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84,286,257</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w:t>
      </w:r>
    </w:p>
    <w:p>
      <w:pPr>
        <w:framePr w:w="557" w:x="10876" w:y="121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10876" w:y="12184"/>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346" w:x="10382" w:y="124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716" w:x="629" w:y="127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3"/>
          <w:sz w:val="21"/>
          <w:szCs w:val="22"/>
          <w:lang w:val="en-US" w:eastAsia="en-US" w:bidi="ar-SA"/>
        </w:rPr>
        <w:t>、人民币普通股</w:t>
      </w:r>
      <w:r>
        <w:rPr>
          <w:rFonts w:eastAsiaTheme="minorEastAsia" w:hAnsiTheme="minorHAnsi" w:cstheme="minorBidi"/>
          <w:color w:val="000000"/>
          <w:spacing w:val="2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72,513,7</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64.74</w:t>
      </w:r>
    </w:p>
    <w:p>
      <w:pPr>
        <w:framePr w:w="5125" w:x="5605" w:y="127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39,486,257</w:t>
      </w:r>
      <w:r>
        <w:rPr>
          <w:rFonts w:ascii="SimSun" w:eastAsiaTheme="minorEastAsia" w:hAnsiTheme="minorHAnsi" w:cstheme="minorBidi"/>
          <w:color w:val="000000"/>
          <w:spacing w:val="1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84,286,257</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w:t>
      </w:r>
    </w:p>
    <w:p>
      <w:pPr>
        <w:framePr w:w="5125" w:x="5605" w:y="12738"/>
        <w:widowControl w:val="0"/>
        <w:autoSpaceDE w:val="0"/>
        <w:autoSpaceDN w:val="0"/>
        <w:spacing w:before="60" w:line="211" w:lineRule="exact"/>
        <w:ind w:left="477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2859" w:x="629" w:y="13009"/>
        <w:widowControl w:val="0"/>
        <w:autoSpaceDE w:val="0"/>
        <w:autoSpaceDN w:val="0"/>
        <w:spacing w:line="211" w:lineRule="exact"/>
        <w:ind w:left="240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w:t>
      </w:r>
    </w:p>
    <w:p>
      <w:pPr>
        <w:framePr w:w="2859" w:x="629" w:y="1300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3"/>
          <w:sz w:val="21"/>
          <w:szCs w:val="22"/>
          <w:lang w:val="en-US" w:eastAsia="en-US" w:bidi="ar-SA"/>
        </w:rPr>
        <w:t>、境内上市的外</w:t>
      </w:r>
    </w:p>
    <w:p>
      <w:pPr>
        <w:framePr w:w="2859" w:x="629" w:y="1300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资股</w:t>
      </w:r>
    </w:p>
    <w:p>
      <w:pPr>
        <w:framePr w:w="1824" w:x="629" w:y="138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3"/>
          <w:sz w:val="21"/>
          <w:szCs w:val="22"/>
          <w:lang w:val="en-US" w:eastAsia="en-US" w:bidi="ar-SA"/>
        </w:rPr>
        <w:t>、境外上市的外</w:t>
      </w:r>
    </w:p>
    <w:p>
      <w:pPr>
        <w:framePr w:w="1824" w:x="629" w:y="138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资股</w:t>
      </w:r>
    </w:p>
    <w:p>
      <w:pPr>
        <w:framePr w:w="979" w:x="629" w:y="144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w:t>
      </w:r>
    </w:p>
    <w:p>
      <w:pPr>
        <w:framePr w:w="1507" w:x="629" w:y="14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三、股份总数</w:t>
      </w:r>
    </w:p>
    <w:p>
      <w:pPr>
        <w:framePr w:w="1085" w:x="2408" w:y="14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w:t>
      </w:r>
    </w:p>
    <w:p>
      <w:pPr>
        <w:framePr w:w="1085" w:x="2408" w:y="14684"/>
        <w:widowControl w:val="0"/>
        <w:autoSpaceDE w:val="0"/>
        <w:autoSpaceDN w:val="0"/>
        <w:spacing w:before="60"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000</w:t>
      </w:r>
    </w:p>
    <w:p>
      <w:pPr>
        <w:framePr w:w="557" w:x="3788" w:y="14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1296" w:x="5605" w:y="14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w:t>
      </w:r>
    </w:p>
    <w:p>
      <w:pPr>
        <w:framePr w:w="2902" w:x="7828" w:y="14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w:t>
      </w:r>
    </w:p>
    <w:p>
      <w:pPr>
        <w:framePr w:w="2902" w:x="7828" w:y="14684"/>
        <w:widowControl w:val="0"/>
        <w:autoSpaceDE w:val="0"/>
        <w:autoSpaceDN w:val="0"/>
        <w:spacing w:before="60" w:line="211" w:lineRule="exact"/>
        <w:ind w:left="255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557" w:x="10876" w:y="146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7" type="#_x0000_t75" style="width:445.6pt;height:2.7pt;margin-top:53.3pt;margin-left:87.45pt;mso-position-horizontal-relative:page;mso-position-vertical-relative:page;position:absolute;z-index:-251491328">
            <v:imagedata r:id="rId46" o:title=""/>
          </v:shape>
        </w:pict>
      </w:r>
      <w:r>
        <w:rPr>
          <w:noProof/>
        </w:rPr>
        <w:pict>
          <v:shape id="_x0000_s1078" type="#_x0000_t75" style="width:541.4pt;height:405.95pt;margin-top:355.5pt;margin-left:24.8pt;mso-position-horizontal-relative:page;mso-position-vertical-relative:page;position:absolute;z-index:-251630592">
            <v:imagedata r:id="rId47" o:title=""/>
          </v:shape>
        </w:pict>
      </w:r>
    </w:p>
    <w:p>
      <w:pPr>
        <w:spacing w:line="0" w:lineRule="atLeast"/>
        <w:rPr>
          <w:rFonts w:ascii="Arial" w:eastAsiaTheme="minorEastAsia" w:hAnsiTheme="minorHAnsi" w:cstheme="minorBidi"/>
          <w:color w:val="FF0000"/>
          <w:sz w:val="2"/>
          <w:szCs w:val="22"/>
          <w:lang w:val="en-US" w:eastAsia="en-US" w:bidi="ar-SA"/>
        </w:rPr>
      </w:pPr>
      <w:bookmarkStart w:id="28" w:name="br1_27"/>
      <w:bookmarkEnd w:id="28"/>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0"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股份变动情况说明</w:t>
      </w:r>
    </w:p>
    <w:p>
      <w:pPr>
        <w:framePr w:w="1817" w:x="1798" w:y="2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274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z w:val="21"/>
          <w:szCs w:val="22"/>
          <w:lang w:val="en-US" w:eastAsia="en-US" w:bidi="ar-SA"/>
        </w:rPr>
        <w:t>日，公司召开</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年年度股东大会，审议通过了《关于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年度利润分配</w:t>
      </w:r>
    </w:p>
    <w:p>
      <w:pPr>
        <w:framePr w:w="9078" w:x="1798" w:y="274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及资本公积金转增股本预案的议案》，同意以截至</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112,000,000</w:t>
      </w:r>
      <w:r>
        <w:rPr>
          <w:rFonts w:ascii="SimSun" w:hAnsi="SimSun" w:eastAsiaTheme="minorEastAsia" w:cs="SimSun"/>
          <w:color w:val="000000"/>
          <w:sz w:val="21"/>
          <w:szCs w:val="22"/>
          <w:lang w:val="en-US" w:eastAsia="en-US" w:bidi="ar-SA"/>
        </w:rPr>
        <w:t>股为基</w:t>
      </w:r>
    </w:p>
    <w:p>
      <w:pPr>
        <w:framePr w:w="9078" w:x="1798" w:y="27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数，向全体股东每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股派现金股利</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r>
        <w:rPr>
          <w:rFonts w:ascii="SimSun" w:hAnsi="SimSun" w:eastAsiaTheme="minorEastAsia" w:cs="SimSun"/>
          <w:color w:val="000000"/>
          <w:sz w:val="21"/>
          <w:szCs w:val="22"/>
          <w:lang w:val="en-US" w:eastAsia="en-US" w:bidi="ar-SA"/>
        </w:rPr>
        <w:t>元人民币（含税），同时以资本公积转增股本方式向全</w:t>
      </w:r>
    </w:p>
    <w:p>
      <w:pPr>
        <w:framePr w:w="9078" w:x="1798" w:y="27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体股东每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44,800,000</w:t>
      </w:r>
      <w:r>
        <w:rPr>
          <w:rFonts w:ascii="SimSun" w:hAnsi="SimSun" w:eastAsiaTheme="minorEastAsia" w:cs="SimSun"/>
          <w:color w:val="000000"/>
          <w:sz w:val="21"/>
          <w:szCs w:val="22"/>
          <w:lang w:val="en-US" w:eastAsia="en-US" w:bidi="ar-SA"/>
        </w:rPr>
        <w:t>股，转增后公司总股本为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156,800,000</w:t>
      </w:r>
      <w:r>
        <w:rPr>
          <w:rFonts w:ascii="SimSun" w:hAnsi="SimSun" w:eastAsiaTheme="minorEastAsia" w:cs="SimSun"/>
          <w:color w:val="000000"/>
          <w:sz w:val="21"/>
          <w:szCs w:val="22"/>
          <w:lang w:val="en-US" w:eastAsia="en-US" w:bidi="ar-SA"/>
        </w:rPr>
        <w:t>股。上述</w:t>
      </w:r>
    </w:p>
    <w:p>
      <w:pPr>
        <w:framePr w:w="9078" w:x="1798" w:y="27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事项已实施完毕</w:t>
      </w:r>
    </w:p>
    <w:p>
      <w:pPr>
        <w:framePr w:w="9075" w:x="1798" w:y="4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报告期后到半年报披露日期间发生股份变动对每股收益、每股净资产等财务指标的影响（如</w:t>
      </w:r>
    </w:p>
    <w:p>
      <w:pPr>
        <w:framePr w:w="662" w:x="1798" w:y="52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有）</w:t>
      </w:r>
    </w:p>
    <w:p>
      <w:pPr>
        <w:framePr w:w="1817" w:x="1798" w:y="57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6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公司认为必要或证券监管机构要求披露的其他内容</w:t>
      </w:r>
    </w:p>
    <w:p>
      <w:pPr>
        <w:framePr w:w="1817" w:x="1798" w:y="6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96" w:x="1798" w:y="738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限售股份变动情况</w:t>
      </w:r>
    </w:p>
    <w:p>
      <w:pPr>
        <w:framePr w:w="1817" w:x="1798" w:y="7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9792" w:y="80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股</w:t>
      </w:r>
    </w:p>
    <w:p>
      <w:pPr>
        <w:framePr w:w="5173" w:x="3101"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期初限售股</w:t>
      </w:r>
      <w:r>
        <w:rPr>
          <w:rFonts w:eastAsiaTheme="minorEastAsia" w:hAnsiTheme="minorHAnsi" w:cstheme="minorBidi"/>
          <w:color w:val="000000"/>
          <w:spacing w:val="18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报告期解除</w:t>
      </w:r>
      <w:r>
        <w:rPr>
          <w:rFonts w:eastAsiaTheme="minorEastAsia" w:hAnsiTheme="minorHAnsi" w:cstheme="minorBidi"/>
          <w:color w:val="000000"/>
          <w:spacing w:val="18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报告期增加</w:t>
      </w:r>
      <w:r>
        <w:rPr>
          <w:rFonts w:eastAsiaTheme="minorEastAsia" w:hAnsiTheme="minorHAnsi" w:cstheme="minorBidi"/>
          <w:color w:val="000000"/>
          <w:spacing w:val="18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报告期末限</w:t>
      </w:r>
    </w:p>
    <w:p>
      <w:pPr>
        <w:framePr w:w="1296" w:x="9566"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解除限售日</w:t>
      </w:r>
    </w:p>
    <w:p>
      <w:pPr>
        <w:framePr w:w="1296" w:x="9566" w:y="8292"/>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w:t>
      </w:r>
    </w:p>
    <w:p>
      <w:pPr>
        <w:framePr w:w="1085" w:x="1916" w:y="8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股东名称</w:t>
      </w:r>
    </w:p>
    <w:p>
      <w:pPr>
        <w:framePr w:w="1085" w:x="8377" w:y="8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限售原因</w:t>
      </w:r>
    </w:p>
    <w:p>
      <w:pPr>
        <w:framePr w:w="451" w:x="3521" w:y="8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1085" w:x="4499" w:y="8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限售股数</w:t>
      </w:r>
    </w:p>
    <w:p>
      <w:pPr>
        <w:framePr w:w="1085" w:x="5792" w:y="8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限售股数</w:t>
      </w:r>
    </w:p>
    <w:p>
      <w:pPr>
        <w:framePr w:w="874" w:x="7192" w:y="8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售股数</w:t>
      </w:r>
    </w:p>
    <w:p>
      <w:pPr>
        <w:framePr w:w="874" w:x="2019" w:y="88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2019" w:y="88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孙利娟</w:t>
      </w:r>
    </w:p>
    <w:p>
      <w:pPr>
        <w:framePr w:w="874" w:x="2019" w:y="88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侯万富</w:t>
      </w:r>
    </w:p>
    <w:p>
      <w:pPr>
        <w:framePr w:w="874" w:x="2019" w:y="88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王现国</w:t>
      </w:r>
    </w:p>
    <w:p>
      <w:pPr>
        <w:framePr w:w="874" w:x="2019" w:y="8847"/>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585" w:x="3113" w:y="88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37,537,208</w:t>
      </w:r>
      <w:r>
        <w:rPr>
          <w:rFonts w:ascii="SimSun" w:eastAsiaTheme="minorEastAsia" w:hAnsiTheme="minorHAnsi" w:cstheme="minorBidi"/>
          <w:color w:val="000000"/>
          <w:spacing w:val="13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37,537,208</w:t>
      </w:r>
    </w:p>
    <w:p>
      <w:pPr>
        <w:framePr w:w="2585" w:x="3113" w:y="88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1,327,505</w:t>
      </w:r>
      <w:r>
        <w:rPr>
          <w:rFonts w:ascii="SimSun" w:eastAsiaTheme="minorEastAsia" w:hAnsiTheme="minorHAnsi" w:cstheme="minorBidi"/>
          <w:color w:val="000000"/>
          <w:spacing w:val="23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1,327,505</w:t>
      </w:r>
    </w:p>
    <w:p>
      <w:pPr>
        <w:framePr w:w="346" w:x="7453" w:y="88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453" w:y="88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453" w:y="88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453" w:y="88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346" w:x="7453" w:y="88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1085" w:x="8377" w:y="88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首发限售</w:t>
      </w:r>
    </w:p>
    <w:p>
      <w:pPr>
        <w:framePr w:w="1085" w:x="8377" w:y="88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首发限售</w:t>
      </w:r>
    </w:p>
    <w:p>
      <w:pPr>
        <w:framePr w:w="1085" w:x="8377" w:y="88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首发限售</w:t>
      </w:r>
    </w:p>
    <w:p>
      <w:pPr>
        <w:framePr w:w="1085" w:x="8377" w:y="88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首发限售</w:t>
      </w:r>
    </w:p>
    <w:p>
      <w:pPr>
        <w:framePr w:w="1085" w:x="8377" w:y="8847"/>
        <w:widowControl w:val="0"/>
        <w:autoSpaceDE w:val="0"/>
        <w:autoSpaceDN w:val="0"/>
        <w:spacing w:before="70" w:line="211" w:lineRule="exact"/>
        <w:ind w:left="36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190" w:x="9619" w:y="88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2020.5.11</w:t>
      </w:r>
    </w:p>
    <w:p>
      <w:pPr>
        <w:framePr w:w="1190" w:x="9619" w:y="88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2020.5.11</w:t>
      </w:r>
    </w:p>
    <w:p>
      <w:pPr>
        <w:framePr w:w="1190" w:x="9619" w:y="88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2020.5.11</w:t>
      </w:r>
    </w:p>
    <w:p>
      <w:pPr>
        <w:framePr w:w="1190" w:x="9619" w:y="88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2020.5.11</w:t>
      </w:r>
    </w:p>
    <w:p>
      <w:pPr>
        <w:framePr w:w="1190" w:x="9619" w:y="8847"/>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979" w:x="3430" w:y="94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520,713</w:t>
      </w:r>
    </w:p>
    <w:p>
      <w:pPr>
        <w:framePr w:w="979" w:x="3430" w:y="941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100,831</w:t>
      </w:r>
    </w:p>
    <w:p>
      <w:pPr>
        <w:framePr w:w="979" w:x="4722" w:y="94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520,713</w:t>
      </w:r>
    </w:p>
    <w:p>
      <w:pPr>
        <w:framePr w:w="979" w:x="4722" w:y="941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100,831</w:t>
      </w:r>
    </w:p>
    <w:p>
      <w:pPr>
        <w:framePr w:w="2585" w:x="3113" w:y="99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39,486,257</w:t>
      </w:r>
      <w:r>
        <w:rPr>
          <w:rFonts w:ascii="SimSun" w:eastAsiaTheme="minorEastAsia" w:hAnsiTheme="minorHAnsi" w:cstheme="minorBidi"/>
          <w:color w:val="000000"/>
          <w:spacing w:val="13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39,486,257</w:t>
      </w:r>
    </w:p>
    <w:p>
      <w:pPr>
        <w:framePr w:w="1534" w:x="1798" w:y="10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w:t>
      </w:r>
      <w:r>
        <w:rPr>
          <w:rFonts w:eastAsiaTheme="minorEastAsia" w:hAnsiTheme="minorHAnsi" w:cstheme="minorBidi"/>
          <w:color w:val="000000"/>
          <w:spacing w:val="-2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股东情况</w:t>
      </w:r>
    </w:p>
    <w:p>
      <w:pPr>
        <w:framePr w:w="1712" w:x="1798" w:y="11040"/>
        <w:widowControl w:val="0"/>
        <w:autoSpaceDE w:val="0"/>
        <w:autoSpaceDN w:val="0"/>
        <w:spacing w:line="258" w:lineRule="exact"/>
        <w:rPr>
          <w:rFonts w:ascii="Calibri" w:eastAsiaTheme="minorEastAsia" w:hAnsiTheme="minorHAnsi" w:cstheme="minorBidi"/>
          <w:b/>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2"/>
          <w:sz w:val="21"/>
          <w:szCs w:val="22"/>
          <w:lang w:val="en-US" w:eastAsia="en-US" w:bidi="ar-SA"/>
        </w:rPr>
        <w:t>股东总数</w:t>
      </w:r>
      <w:r>
        <w:rPr>
          <w:rFonts w:ascii="Calibri" w:eastAsiaTheme="minorEastAsia" w:hAnsiTheme="minorHAnsi" w:cstheme="minorBidi"/>
          <w:b/>
          <w:color w:val="000000"/>
          <w:sz w:val="21"/>
          <w:szCs w:val="22"/>
          <w:lang w:val="en-US" w:eastAsia="en-US" w:bidi="ar-SA"/>
        </w:rPr>
        <w:t>:</w:t>
      </w:r>
    </w:p>
    <w:p>
      <w:pPr>
        <w:framePr w:w="3408" w:x="1798" w:y="114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截止报告期末普通股股东总数</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户</w:t>
      </w:r>
      <w:r>
        <w:rPr>
          <w:rFonts w:ascii="SimSun" w:eastAsiaTheme="minorEastAsia" w:hAnsiTheme="minorHAnsi" w:cstheme="minorBidi"/>
          <w:color w:val="000000"/>
          <w:sz w:val="21"/>
          <w:szCs w:val="22"/>
          <w:lang w:val="en-US" w:eastAsia="en-US" w:bidi="ar-SA"/>
        </w:rPr>
        <w:t>)</w:t>
      </w:r>
    </w:p>
    <w:p>
      <w:pPr>
        <w:framePr w:w="874" w:x="10000" w:y="114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10,069</w:t>
      </w:r>
    </w:p>
    <w:p>
      <w:pPr>
        <w:framePr w:w="874" w:x="10000" w:y="11401"/>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4886" w:x="1798" w:y="11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截止报告期末表决权恢复的优先股股东总数（户）</w:t>
      </w:r>
    </w:p>
    <w:p>
      <w:pPr>
        <w:framePr w:w="7973" w:x="1798" w:y="1255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截止报告期末前十名股东、前十名流通股东（或无限售条件股东）持股情况表</w:t>
      </w:r>
    </w:p>
    <w:p>
      <w:pPr>
        <w:framePr w:w="979" w:x="9897" w:y="12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股</w:t>
      </w:r>
    </w:p>
    <w:p>
      <w:pPr>
        <w:framePr w:w="2141" w:x="5103" w:y="131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前十名股东持股情况</w:t>
      </w:r>
    </w:p>
    <w:p>
      <w:pPr>
        <w:framePr w:w="2239" w:x="7789" w:y="134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持有有</w:t>
      </w:r>
      <w:r>
        <w:rPr>
          <w:rFonts w:eastAsiaTheme="minorEastAsia" w:hAnsiTheme="minorHAnsi" w:cstheme="minorBidi"/>
          <w:color w:val="000000"/>
          <w:spacing w:val="2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质押或冻结</w:t>
      </w:r>
    </w:p>
    <w:p>
      <w:pPr>
        <w:framePr w:w="1085" w:x="1872" w:y="1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股东名称</w:t>
      </w:r>
    </w:p>
    <w:p>
      <w:pPr>
        <w:framePr w:w="1085" w:x="1872" w:y="1374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（全称）</w:t>
      </w:r>
    </w:p>
    <w:p>
      <w:pPr>
        <w:framePr w:w="1296" w:x="4107" w:y="1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报告期内增</w:t>
      </w:r>
    </w:p>
    <w:p>
      <w:pPr>
        <w:framePr w:w="1296" w:x="4107" w:y="13746"/>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w:t>
      </w:r>
    </w:p>
    <w:p>
      <w:pPr>
        <w:framePr w:w="1296" w:x="5523" w:y="1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期末持股数</w:t>
      </w:r>
    </w:p>
    <w:p>
      <w:pPr>
        <w:framePr w:w="1296" w:x="5523" w:y="13746"/>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p>
      <w:pPr>
        <w:framePr w:w="662" w:x="6973" w:y="1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874" w:x="7789" w:y="1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限售条</w:t>
      </w:r>
    </w:p>
    <w:p>
      <w:pPr>
        <w:framePr w:w="874" w:x="7789" w:y="1374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件股份</w:t>
      </w:r>
    </w:p>
    <w:p>
      <w:pPr>
        <w:framePr w:w="874" w:x="7789" w:y="13746"/>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932" w:x="8781" w:y="13741"/>
        <w:widowControl w:val="0"/>
        <w:autoSpaceDE w:val="0"/>
        <w:autoSpaceDN w:val="0"/>
        <w:spacing w:line="211" w:lineRule="exact"/>
        <w:ind w:left="26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w:t>
      </w:r>
    </w:p>
    <w:p>
      <w:pPr>
        <w:framePr w:w="932" w:x="8781" w:y="1374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w:t>
      </w:r>
    </w:p>
    <w:p>
      <w:pPr>
        <w:framePr w:w="1085" w:x="10257" w:y="138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股东性质</w:t>
      </w:r>
    </w:p>
    <w:p>
      <w:pPr>
        <w:framePr w:w="557" w:x="7026" w:y="140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451" w:x="9544" w:y="140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framePr w:w="451" w:x="9544" w:y="1402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p>
      <w:pPr>
        <w:framePr w:w="662" w:x="8781" w:y="14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状态</w:t>
      </w:r>
    </w:p>
    <w:p>
      <w:pPr>
        <w:framePr w:w="662" w:x="8781" w:y="14296"/>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874" w:x="770" w:y="145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874" w:x="770" w:y="145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陈绪潇</w:t>
      </w:r>
    </w:p>
    <w:p>
      <w:pPr>
        <w:framePr w:w="3562" w:x="4182" w:y="145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15,014,883</w:t>
      </w:r>
      <w:r>
        <w:rPr>
          <w:rFonts w:ascii="SimSun" w:eastAsiaTheme="minorEastAsia" w:hAnsiTheme="minorHAnsi" w:cstheme="minorBidi"/>
          <w:color w:val="000000"/>
          <w:spacing w:val="26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52,552,091</w:t>
      </w:r>
      <w:r>
        <w:rPr>
          <w:rFonts w:ascii="SimSun" w:eastAsiaTheme="minorEastAsia" w:hAnsiTheme="minorHAnsi" w:cstheme="minorBidi"/>
          <w:color w:val="000000"/>
          <w:spacing w:val="21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33.52</w:t>
      </w:r>
    </w:p>
    <w:p>
      <w:pPr>
        <w:framePr w:w="3562" w:x="4182" w:y="1457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8,281,375</w:t>
      </w:r>
      <w:r>
        <w:rPr>
          <w:rFonts w:ascii="SimSun" w:eastAsiaTheme="minorEastAsia" w:hAnsiTheme="minorHAnsi" w:cstheme="minorBidi"/>
          <w:color w:val="000000"/>
          <w:spacing w:val="26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28,984,812</w:t>
      </w:r>
      <w:r>
        <w:rPr>
          <w:rFonts w:ascii="SimSun" w:eastAsiaTheme="minorEastAsia" w:hAnsiTheme="minorHAnsi" w:cstheme="minorBidi"/>
          <w:color w:val="000000"/>
          <w:spacing w:val="21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18.49</w:t>
      </w:r>
    </w:p>
    <w:p>
      <w:pPr>
        <w:framePr w:w="1296" w:x="10027" w:y="145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027" w:y="145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451" w:x="8886" w:y="14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29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79" type="#_x0000_t75" style="width:445.6pt;height:2.7pt;margin-top:53.3pt;margin-left:87.45pt;mso-position-horizontal-relative:page;mso-position-vertical-relative:page;position:absolute;z-index:-251338752">
            <v:imagedata r:id="rId48" o:title=""/>
          </v:shape>
        </w:pict>
      </w:r>
      <w:r>
        <w:rPr>
          <w:noProof/>
        </w:rPr>
        <w:pict>
          <v:shape id="_x0000_s1080" type="#_x0000_t75" style="width:454.95pt;height:100.9pt;margin-top:411.55pt;margin-left:83.25pt;mso-position-horizontal-relative:page;mso-position-vertical-relative:page;position:absolute;z-index:-251398144">
            <v:imagedata r:id="rId49" o:title=""/>
          </v:shape>
        </w:pict>
      </w:r>
      <w:r>
        <w:rPr>
          <w:noProof/>
        </w:rPr>
        <w:pict>
          <v:shape id="_x0000_s1081" type="#_x0000_t75" style="width:454.95pt;height:30.8pt;margin-top:567.05pt;margin-left:83.25pt;mso-position-horizontal-relative:page;mso-position-vertical-relative:page;position:absolute;z-index:-251490304">
            <v:imagedata r:id="rId50" o:title=""/>
          </v:shape>
        </w:pict>
      </w:r>
      <w:r>
        <w:rPr>
          <w:noProof/>
        </w:rPr>
        <w:pict>
          <v:shape id="_x0000_s1082" type="#_x0000_t75" style="width:541.25pt;height:100.4pt;margin-top:656.25pt;margin-left:31.9pt;mso-position-horizontal-relative:page;mso-position-vertical-relative:page;position:absolute;z-index:-251629568">
            <v:imagedata r:id="rId51" o:title=""/>
          </v:shape>
        </w:pict>
      </w:r>
    </w:p>
    <w:p>
      <w:pPr>
        <w:spacing w:line="0" w:lineRule="atLeast"/>
        <w:rPr>
          <w:rFonts w:ascii="Arial" w:eastAsiaTheme="minorEastAsia" w:hAnsiTheme="minorHAnsi" w:cstheme="minorBidi"/>
          <w:color w:val="FF0000"/>
          <w:sz w:val="2"/>
          <w:szCs w:val="22"/>
          <w:lang w:val="en-US" w:eastAsia="en-US" w:bidi="ar-SA"/>
        </w:rPr>
      </w:pPr>
      <w:bookmarkStart w:id="29" w:name="br1_28"/>
      <w:bookmarkEnd w:id="29"/>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62" w:x="770"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1190" w:x="428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1,062,264</w:t>
      </w:r>
    </w:p>
    <w:p>
      <w:pPr>
        <w:framePr w:w="1190" w:x="4287"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829,320</w:t>
      </w:r>
    </w:p>
    <w:p>
      <w:pPr>
        <w:framePr w:w="1190" w:x="4287"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1,278,140</w:t>
      </w:r>
    </w:p>
    <w:p>
      <w:pPr>
        <w:framePr w:w="1190" w:x="4287" w:y="154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694,000</w:t>
      </w:r>
    </w:p>
    <w:p>
      <w:pPr>
        <w:framePr w:w="1190" w:x="4287"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604,766</w:t>
      </w:r>
    </w:p>
    <w:p>
      <w:pPr>
        <w:framePr w:w="1190" w:x="4287" w:y="154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531,002</w:t>
      </w:r>
    </w:p>
    <w:p>
      <w:pPr>
        <w:framePr w:w="1190" w:x="4287"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966,364</w:t>
      </w:r>
    </w:p>
    <w:p>
      <w:pPr>
        <w:framePr w:w="1190" w:x="570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p>
    <w:p>
      <w:pPr>
        <w:framePr w:w="1190" w:x="5706"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2,902,620</w:t>
      </w:r>
    </w:p>
    <w:p>
      <w:pPr>
        <w:framePr w:w="1190" w:x="5706"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2,264,640</w:t>
      </w:r>
    </w:p>
    <w:p>
      <w:pPr>
        <w:framePr w:w="1190" w:x="5706"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2,236,000</w:t>
      </w:r>
    </w:p>
    <w:p>
      <w:pPr>
        <w:framePr w:w="1190" w:x="5706"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2,116,682</w:t>
      </w:r>
    </w:p>
    <w:p>
      <w:pPr>
        <w:framePr w:w="1190" w:x="5706"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1,858,507</w:t>
      </w:r>
    </w:p>
    <w:p>
      <w:pPr>
        <w:framePr w:w="1190" w:x="5706" w:y="1547"/>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966,364</w:t>
      </w:r>
    </w:p>
    <w:p>
      <w:pPr>
        <w:framePr w:w="662" w:x="7081"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2.37</w:t>
      </w:r>
    </w:p>
    <w:p>
      <w:pPr>
        <w:framePr w:w="662" w:x="7081"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1.85</w:t>
      </w:r>
    </w:p>
    <w:p>
      <w:pPr>
        <w:framePr w:w="662" w:x="7081"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1.44</w:t>
      </w:r>
    </w:p>
    <w:p>
      <w:pPr>
        <w:framePr w:w="662" w:x="7081"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1.43</w:t>
      </w:r>
    </w:p>
    <w:p>
      <w:pPr>
        <w:framePr w:w="662" w:x="7081"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1.35</w:t>
      </w:r>
    </w:p>
    <w:p>
      <w:pPr>
        <w:framePr w:w="662" w:x="7081"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1.19</w:t>
      </w:r>
    </w:p>
    <w:p>
      <w:pPr>
        <w:framePr w:w="662" w:x="7081"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0.62</w:t>
      </w:r>
    </w:p>
    <w:p>
      <w:pPr>
        <w:framePr w:w="451" w:x="8886"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451" w:x="8886"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296" w:x="10027"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027"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027"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874" w:x="770"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874" w:x="770"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于素珍</w:t>
      </w:r>
    </w:p>
    <w:p>
      <w:pPr>
        <w:framePr w:w="662" w:x="8781"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662" w:x="8781" w:y="2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662" w:x="8781" w:y="2112"/>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662" w:x="770"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王萍</w:t>
      </w:r>
    </w:p>
    <w:p>
      <w:pPr>
        <w:framePr w:w="662" w:x="10027"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874" w:x="770"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w:t>
      </w:r>
    </w:p>
    <w:p>
      <w:pPr>
        <w:framePr w:w="1296" w:x="10027"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027" w:y="26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1296" w:x="10027" w:y="267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874" w:x="770"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孙利娟</w:t>
      </w:r>
    </w:p>
    <w:p>
      <w:pPr>
        <w:framePr w:w="451" w:x="8886"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197" w:x="770"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中国工商银行股份有限公司－国</w:t>
      </w:r>
    </w:p>
    <w:p>
      <w:pPr>
        <w:framePr w:w="3197" w:x="770" w:y="324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泰金泰平衡混合型证券投资基金</w:t>
      </w:r>
    </w:p>
    <w:p>
      <w:pPr>
        <w:framePr w:w="3197" w:x="770" w:y="3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662" w:x="8781" w:y="33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未知</w:t>
      </w:r>
    </w:p>
    <w:p>
      <w:pPr>
        <w:framePr w:w="662" w:x="8781" w:y="3377"/>
        <w:widowControl w:val="0"/>
        <w:autoSpaceDE w:val="0"/>
        <w:autoSpaceDN w:val="0"/>
        <w:spacing w:before="209"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79" w:x="4499" w:y="37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208,285</w:t>
      </w:r>
    </w:p>
    <w:p>
      <w:pPr>
        <w:framePr w:w="979" w:x="5917" w:y="37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728,998</w:t>
      </w:r>
    </w:p>
    <w:p>
      <w:pPr>
        <w:framePr w:w="662" w:x="7081" w:y="37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0.46</w:t>
      </w:r>
    </w:p>
    <w:p>
      <w:pPr>
        <w:framePr w:w="1296" w:x="10027" w:y="37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境内自然人</w:t>
      </w:r>
    </w:p>
    <w:p>
      <w:pPr>
        <w:framePr w:w="3509" w:x="4578" w:y="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前十名无限售条件股东持股情况</w:t>
      </w:r>
    </w:p>
    <w:p>
      <w:pPr>
        <w:framePr w:w="3509" w:x="4578" w:y="4077"/>
        <w:widowControl w:val="0"/>
        <w:autoSpaceDE w:val="0"/>
        <w:autoSpaceDN w:val="0"/>
        <w:spacing w:before="77" w:line="211" w:lineRule="exact"/>
        <w:ind w:left="137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持有无限售条件流通</w:t>
      </w:r>
    </w:p>
    <w:p>
      <w:pPr>
        <w:framePr w:w="3509" w:x="4578" w:y="4077"/>
        <w:widowControl w:val="0"/>
        <w:autoSpaceDE w:val="0"/>
        <w:autoSpaceDN w:val="0"/>
        <w:spacing w:before="60" w:line="211" w:lineRule="exact"/>
        <w:ind w:left="190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股的数量</w:t>
      </w:r>
    </w:p>
    <w:p>
      <w:pPr>
        <w:framePr w:w="1718" w:x="9001" w:y="4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股份种类及数量</w:t>
      </w:r>
    </w:p>
    <w:p>
      <w:pPr>
        <w:framePr w:w="1085" w:x="2794" w:y="45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股东名称</w:t>
      </w:r>
    </w:p>
    <w:p>
      <w:pPr>
        <w:framePr w:w="662" w:x="8608"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种类</w:t>
      </w:r>
    </w:p>
    <w:p>
      <w:pPr>
        <w:framePr w:w="662" w:x="10310"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874" w:x="770" w:y="4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2815" w:x="6875" w:y="4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52,552,091</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28,984,812</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2,902,620</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2,264,640</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2,236,000</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2,116,682</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1,858,507</w:t>
      </w:r>
      <w:r>
        <w:rPr>
          <w:rFonts w:ascii="SimSun"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2815" w:x="6875" w:y="4924"/>
        <w:widowControl w:val="0"/>
        <w:autoSpaceDE w:val="0"/>
        <w:autoSpaceDN w:val="0"/>
        <w:spacing w:before="70" w:line="211" w:lineRule="exact"/>
        <w:ind w:left="31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966,364</w:t>
      </w:r>
    </w:p>
    <w:p>
      <w:pPr>
        <w:framePr w:w="1296" w:x="10279" w:y="4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52,552,091</w:t>
      </w:r>
    </w:p>
    <w:p>
      <w:pPr>
        <w:framePr w:w="1296" w:x="10279" w:y="4924"/>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28,984,812</w:t>
      </w:r>
    </w:p>
    <w:p>
      <w:pPr>
        <w:framePr w:w="1296" w:x="10279" w:y="492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p>
    <w:p>
      <w:pPr>
        <w:framePr w:w="1296" w:x="10279" w:y="492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2,902,620</w:t>
      </w:r>
    </w:p>
    <w:p>
      <w:pPr>
        <w:framePr w:w="1296" w:x="10279" w:y="492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2,241,400</w:t>
      </w:r>
    </w:p>
    <w:p>
      <w:pPr>
        <w:framePr w:w="1296" w:x="10279" w:y="492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2,236,000</w:t>
      </w:r>
    </w:p>
    <w:p>
      <w:pPr>
        <w:framePr w:w="1296" w:x="10279" w:y="492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2,116,682</w:t>
      </w:r>
    </w:p>
    <w:p>
      <w:pPr>
        <w:framePr w:w="1296" w:x="10279" w:y="492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1,858,507</w:t>
      </w:r>
    </w:p>
    <w:p>
      <w:pPr>
        <w:framePr w:w="1296" w:x="10279" w:y="4924"/>
        <w:widowControl w:val="0"/>
        <w:autoSpaceDE w:val="0"/>
        <w:autoSpaceDN w:val="0"/>
        <w:spacing w:before="70" w:line="211" w:lineRule="exact"/>
        <w:ind w:left="31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966,364</w:t>
      </w:r>
    </w:p>
    <w:p>
      <w:pPr>
        <w:framePr w:w="874" w:x="770" w:y="52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陈绪潇</w:t>
      </w:r>
    </w:p>
    <w:p>
      <w:pPr>
        <w:framePr w:w="662" w:x="770" w:y="5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874" w:x="770" w:y="57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874" w:x="770" w:y="6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于素珍</w:t>
      </w:r>
    </w:p>
    <w:p>
      <w:pPr>
        <w:framePr w:w="662" w:x="770" w:y="63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王萍</w:t>
      </w:r>
    </w:p>
    <w:p>
      <w:pPr>
        <w:framePr w:w="874" w:x="770" w:y="6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w:t>
      </w:r>
    </w:p>
    <w:p>
      <w:pPr>
        <w:framePr w:w="874" w:x="770" w:y="6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孙利娟</w:t>
      </w:r>
    </w:p>
    <w:p>
      <w:pPr>
        <w:framePr w:w="5098" w:x="770" w:y="71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中国工商银行股份有限公司－国泰金泰平衡混合型证</w:t>
      </w:r>
    </w:p>
    <w:p>
      <w:pPr>
        <w:framePr w:w="1507" w:x="8188" w:y="7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人民币普通股</w:t>
      </w:r>
    </w:p>
    <w:p>
      <w:pPr>
        <w:framePr w:w="1296" w:x="770" w:y="7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券投资基金</w:t>
      </w:r>
    </w:p>
    <w:p>
      <w:pPr>
        <w:framePr w:w="874" w:x="770" w:y="77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2499" w:x="7192" w:y="77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728,998</w:t>
      </w:r>
      <w:r>
        <w:rPr>
          <w:rFonts w:ascii="SimSun" w:eastAsiaTheme="minorEastAsia" w:hAnsiTheme="minorHAnsi" w:cstheme="minorBidi"/>
          <w:color w:val="000000"/>
          <w:spacing w:val="155"/>
          <w:sz w:val="21"/>
          <w:szCs w:val="22"/>
          <w:lang w:val="en-US" w:eastAsia="en-US" w:bidi="ar-SA"/>
        </w:rPr>
        <w:t xml:space="preserve"> </w:t>
      </w:r>
      <w:r>
        <w:rPr>
          <w:rFonts w:ascii="SimSun" w:hAnsi="SimSun" w:eastAsiaTheme="minorEastAsia" w:cs="SimSun"/>
          <w:color w:val="000000"/>
          <w:sz w:val="21"/>
          <w:szCs w:val="22"/>
          <w:lang w:val="en-US" w:eastAsia="en-US" w:bidi="ar-SA"/>
        </w:rPr>
        <w:t>人民币普通股</w:t>
      </w:r>
    </w:p>
    <w:p>
      <w:pPr>
        <w:framePr w:w="979" w:x="10596" w:y="77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728,998</w:t>
      </w:r>
    </w:p>
    <w:p>
      <w:pPr>
        <w:framePr w:w="3619" w:x="770" w:y="80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上述股东关联关系或一致行动的说明</w:t>
      </w:r>
    </w:p>
    <w:p>
      <w:pPr>
        <w:framePr w:w="5731" w:x="5874" w:y="80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上述股东中，王现全与孙利娟为夫妻关系；贾玉玲与陈鸣宇</w:t>
      </w:r>
    </w:p>
    <w:p>
      <w:pPr>
        <w:framePr w:w="5731" w:x="5874" w:y="802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为母子关系。除上述关联关系外，公司未知其他股东是否存</w:t>
      </w:r>
    </w:p>
    <w:p>
      <w:pPr>
        <w:framePr w:w="5731" w:x="5874" w:y="80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在关联关系或一致行动关系。</w:t>
      </w:r>
    </w:p>
    <w:p>
      <w:pPr>
        <w:framePr w:w="4253" w:x="770" w:y="8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表决权恢复的优先股股东及持股数量的说明</w:t>
      </w:r>
    </w:p>
    <w:p>
      <w:pPr>
        <w:framePr w:w="874" w:x="5874" w:y="8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不适用</w:t>
      </w:r>
    </w:p>
    <w:p>
      <w:pPr>
        <w:framePr w:w="9322" w:x="1798" w:y="925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注：上述股东持股情况中股东陈鸣宇与陈绪潇已解除婚姻关系，详见公司</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7</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z w:val="21"/>
          <w:szCs w:val="22"/>
          <w:lang w:val="en-US" w:eastAsia="en-US" w:bidi="ar-SA"/>
        </w:rPr>
        <w:t>日</w:t>
      </w:r>
    </w:p>
    <w:p>
      <w:pPr>
        <w:framePr w:w="9322" w:x="1798" w:y="925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披露公司的《公司关于股东权益变动提示性公告》（公告编号：</w:t>
      </w:r>
      <w:r>
        <w:rPr>
          <w:rFonts w:ascii="SimSun" w:eastAsiaTheme="minorEastAsia" w:hAnsiTheme="minorHAnsi" w:cstheme="minorBidi"/>
          <w:color w:val="000000"/>
          <w:sz w:val="21"/>
          <w:szCs w:val="22"/>
          <w:lang w:val="en-US" w:eastAsia="en-US" w:bidi="ar-SA"/>
        </w:rPr>
        <w:t>2020-028</w:t>
      </w:r>
      <w:r>
        <w:rPr>
          <w:rFonts w:ascii="SimSun" w:hAnsi="SimSun" w:eastAsiaTheme="minorEastAsia" w:cs="SimSun"/>
          <w:color w:val="000000"/>
          <w:sz w:val="21"/>
          <w:szCs w:val="22"/>
          <w:lang w:val="en-US" w:eastAsia="en-US" w:bidi="ar-SA"/>
        </w:rPr>
        <w:t>）《简式权益变动报告</w:t>
      </w:r>
    </w:p>
    <w:p>
      <w:pPr>
        <w:framePr w:w="9322" w:x="1798" w:y="925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书（</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6"/>
          <w:sz w:val="21"/>
          <w:szCs w:val="22"/>
          <w:lang w:val="en-US" w:eastAsia="en-US" w:bidi="ar-SA"/>
        </w:rPr>
        <w:t>）》《简式权益变动报告书（</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4"/>
          <w:sz w:val="21"/>
          <w:szCs w:val="22"/>
          <w:lang w:val="en-US" w:eastAsia="en-US" w:bidi="ar-SA"/>
        </w:rPr>
        <w:t>）》《公司关于股东权益变动完成过户的公告》（公告编号：</w:t>
      </w:r>
    </w:p>
    <w:p>
      <w:pPr>
        <w:framePr w:w="9322" w:x="1798" w:y="925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2020-039</w:t>
      </w:r>
      <w:r>
        <w:rPr>
          <w:rFonts w:ascii="SimSun" w:hAnsi="SimSun" w:eastAsiaTheme="minorEastAsia" w:cs="SimSun"/>
          <w:color w:val="000000"/>
          <w:spacing w:val="-1"/>
          <w:sz w:val="21"/>
          <w:szCs w:val="22"/>
          <w:lang w:val="en-US" w:eastAsia="en-US" w:bidi="ar-SA"/>
        </w:rPr>
        <w:t>）。</w:t>
      </w:r>
    </w:p>
    <w:p>
      <w:pPr>
        <w:framePr w:w="4253" w:x="1798" w:y="106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前十名有限售条件股东持股数量及限售条件</w:t>
      </w:r>
    </w:p>
    <w:p>
      <w:pPr>
        <w:framePr w:w="4253" w:x="1798" w:y="1061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446" w:x="1798" w:y="1133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三</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1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战略投资者或一般法人因配售新股成为前十名股东</w:t>
      </w:r>
    </w:p>
    <w:p>
      <w:pPr>
        <w:framePr w:w="5446" w:x="1798" w:y="11333"/>
        <w:widowControl w:val="0"/>
        <w:autoSpaceDE w:val="0"/>
        <w:autoSpaceDN w:val="0"/>
        <w:spacing w:before="23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41" w:x="1798" w:y="12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三、控股股东或实际控制人变更情况</w:t>
      </w:r>
    </w:p>
    <w:p>
      <w:pPr>
        <w:framePr w:w="3641" w:x="1798" w:y="1229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59" w:x="4705" w:y="13917"/>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第七节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优先股相关情况</w:t>
      </w:r>
    </w:p>
    <w:p>
      <w:pPr>
        <w:framePr w:w="1817" w:x="1798" w:y="145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83" type="#_x0000_t75" style="width:445.6pt;height:2.7pt;margin-top:53.3pt;margin-left:87.45pt;mso-position-horizontal-relative:page;mso-position-vertical-relative:page;position:absolute;z-index:-251489280">
            <v:imagedata r:id="rId52" o:title=""/>
          </v:shape>
        </w:pict>
      </w:r>
      <w:r>
        <w:rPr>
          <w:noProof/>
        </w:rPr>
        <w:pict>
          <v:shape id="_x0000_s1084" type="#_x0000_t75" style="width:541.25pt;height:381.75pt;margin-top:74.3pt;margin-left:31.9pt;mso-position-horizontal-relative:page;mso-position-vertical-relative:page;position:absolute;z-index:-251628544">
            <v:imagedata r:id="rId53" o:title=""/>
          </v:shape>
        </w:pict>
      </w:r>
    </w:p>
    <w:p>
      <w:pPr>
        <w:spacing w:line="0" w:lineRule="atLeast"/>
        <w:rPr>
          <w:rFonts w:ascii="Arial" w:eastAsiaTheme="minorEastAsia" w:hAnsiTheme="minorHAnsi" w:cstheme="minorBidi"/>
          <w:color w:val="FF0000"/>
          <w:sz w:val="2"/>
          <w:szCs w:val="22"/>
          <w:lang w:val="en-US" w:eastAsia="en-US" w:bidi="ar-SA"/>
        </w:rPr>
      </w:pPr>
      <w:bookmarkStart w:id="30" w:name="br1_29"/>
      <w:bookmarkEnd w:id="30"/>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5227" w:x="3720" w:y="15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第八节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董事、监事、高级管理人员情况</w:t>
      </w:r>
    </w:p>
    <w:p>
      <w:pPr>
        <w:framePr w:w="1930"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一、持股变动情况</w:t>
      </w:r>
    </w:p>
    <w:p>
      <w:pPr>
        <w:framePr w:w="6353" w:x="1798" w:y="259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一</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现任及报告期内离任董事、监事和高级管理人员持股变动情况</w:t>
      </w:r>
    </w:p>
    <w:p>
      <w:pPr>
        <w:framePr w:w="1817" w:x="1798" w:y="29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79" w:x="9897" w:y="32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股</w:t>
      </w:r>
    </w:p>
    <w:p>
      <w:pPr>
        <w:framePr w:w="1507" w:x="7845" w:y="34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报告期内股份</w:t>
      </w:r>
    </w:p>
    <w:p>
      <w:pPr>
        <w:framePr w:w="1507" w:x="7845" w:y="3497"/>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增减变动量</w:t>
      </w:r>
    </w:p>
    <w:p>
      <w:pPr>
        <w:framePr w:w="1097" w:x="1798" w:y="3633"/>
        <w:widowControl w:val="0"/>
        <w:autoSpaceDE w:val="0"/>
        <w:autoSpaceDN w:val="0"/>
        <w:spacing w:line="211" w:lineRule="exact"/>
        <w:ind w:left="43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1097" w:x="1798" w:y="3633"/>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王现全</w:t>
      </w:r>
    </w:p>
    <w:p>
      <w:pPr>
        <w:framePr w:w="662" w:x="3740" w:y="3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职务</w:t>
      </w:r>
    </w:p>
    <w:p>
      <w:pPr>
        <w:framePr w:w="1296" w:x="4933" w:y="3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期初持股数</w:t>
      </w:r>
    </w:p>
    <w:p>
      <w:pPr>
        <w:framePr w:w="1296" w:x="6443" w:y="3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期末持股数</w:t>
      </w:r>
    </w:p>
    <w:p>
      <w:pPr>
        <w:framePr w:w="1507" w:x="9352" w:y="3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增减变动原因</w:t>
      </w:r>
    </w:p>
    <w:p>
      <w:pPr>
        <w:framePr w:w="662" w:x="3305" w:y="4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662" w:x="3305" w:y="40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662" w:x="3305" w:y="40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662" w:x="3305" w:y="40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董事</w:t>
      </w:r>
    </w:p>
    <w:p>
      <w:pPr>
        <w:framePr w:w="1296" w:x="5053" w:y="40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37,537,208</w:t>
      </w:r>
    </w:p>
    <w:p>
      <w:pPr>
        <w:framePr w:w="1296" w:x="5053" w:y="405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2,073,300</w:t>
      </w:r>
    </w:p>
    <w:p>
      <w:pPr>
        <w:framePr w:w="1296" w:x="5053" w:y="4051"/>
        <w:widowControl w:val="0"/>
        <w:autoSpaceDE w:val="0"/>
        <w:autoSpaceDN w:val="0"/>
        <w:spacing w:before="72" w:line="211" w:lineRule="exact"/>
        <w:ind w:left="31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520,713</w:t>
      </w:r>
    </w:p>
    <w:p>
      <w:pPr>
        <w:framePr w:w="1296" w:x="6563" w:y="40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52,552,091</w:t>
      </w:r>
    </w:p>
    <w:p>
      <w:pPr>
        <w:framePr w:w="1296" w:x="6563" w:y="405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2,902,620</w:t>
      </w:r>
    </w:p>
    <w:p>
      <w:pPr>
        <w:framePr w:w="1296" w:x="6563" w:y="4051"/>
        <w:widowControl w:val="0"/>
        <w:autoSpaceDE w:val="0"/>
        <w:autoSpaceDN w:val="0"/>
        <w:spacing w:before="72" w:line="211" w:lineRule="exact"/>
        <w:ind w:left="31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728,998</w:t>
      </w:r>
    </w:p>
    <w:p>
      <w:pPr>
        <w:framePr w:w="2770" w:x="8070" w:y="4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15,014,883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资本积金转增</w:t>
      </w:r>
    </w:p>
    <w:p>
      <w:pPr>
        <w:framePr w:w="2770" w:x="8070" w:y="4051"/>
        <w:widowControl w:val="0"/>
        <w:autoSpaceDE w:val="0"/>
        <w:autoSpaceDN w:val="0"/>
        <w:spacing w:before="72" w:line="211" w:lineRule="exact"/>
        <w:ind w:left="317"/>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829,320</w:t>
      </w:r>
      <w:r>
        <w:rPr>
          <w:rFonts w:ascii="SimSun" w:eastAsiaTheme="minorEastAsia" w:hAnsiTheme="minorHAnsi" w:cstheme="minorBidi"/>
          <w:color w:val="000000"/>
          <w:spacing w:val="110"/>
          <w:sz w:val="21"/>
          <w:szCs w:val="22"/>
          <w:lang w:val="en-US" w:eastAsia="en-US" w:bidi="ar-SA"/>
        </w:rPr>
        <w:t xml:space="preserve"> </w:t>
      </w:r>
      <w:r>
        <w:rPr>
          <w:rFonts w:ascii="SimSun" w:hAnsi="SimSun" w:eastAsiaTheme="minorEastAsia" w:cs="SimSun"/>
          <w:color w:val="000000"/>
          <w:sz w:val="21"/>
          <w:szCs w:val="22"/>
          <w:lang w:val="en-US" w:eastAsia="en-US" w:bidi="ar-SA"/>
        </w:rPr>
        <w:t>资本积金转增</w:t>
      </w:r>
    </w:p>
    <w:p>
      <w:pPr>
        <w:framePr w:w="2770" w:x="8070" w:y="4051"/>
        <w:widowControl w:val="0"/>
        <w:autoSpaceDE w:val="0"/>
        <w:autoSpaceDN w:val="0"/>
        <w:spacing w:before="72" w:line="211" w:lineRule="exact"/>
        <w:ind w:left="317"/>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208,285</w:t>
      </w:r>
      <w:r>
        <w:rPr>
          <w:rFonts w:ascii="SimSun" w:eastAsiaTheme="minorEastAsia" w:hAnsiTheme="minorHAnsi" w:cstheme="minorBidi"/>
          <w:color w:val="000000"/>
          <w:spacing w:val="110"/>
          <w:sz w:val="21"/>
          <w:szCs w:val="22"/>
          <w:lang w:val="en-US" w:eastAsia="en-US" w:bidi="ar-SA"/>
        </w:rPr>
        <w:t xml:space="preserve"> </w:t>
      </w:r>
      <w:r>
        <w:rPr>
          <w:rFonts w:ascii="SimSun" w:hAnsi="SimSun" w:eastAsiaTheme="minorEastAsia" w:cs="SimSun"/>
          <w:color w:val="000000"/>
          <w:sz w:val="21"/>
          <w:szCs w:val="22"/>
          <w:lang w:val="en-US" w:eastAsia="en-US" w:bidi="ar-SA"/>
        </w:rPr>
        <w:t>资本积金转增</w:t>
      </w:r>
    </w:p>
    <w:p>
      <w:pPr>
        <w:framePr w:w="2770" w:x="8070" w:y="4051"/>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1,062,264</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资本积金转增</w:t>
      </w:r>
    </w:p>
    <w:p>
      <w:pPr>
        <w:framePr w:w="874" w:x="1798" w:y="43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陈鸣宇</w:t>
      </w:r>
    </w:p>
    <w:p>
      <w:pPr>
        <w:framePr w:w="874" w:x="1798" w:y="43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姚长明</w:t>
      </w:r>
    </w:p>
    <w:p>
      <w:pPr>
        <w:framePr w:w="874" w:x="1798" w:y="433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1190" w:x="5159" w:y="48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2,655,659</w:t>
      </w:r>
    </w:p>
    <w:p>
      <w:pPr>
        <w:framePr w:w="1190" w:x="6669" w:y="48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3,717,923</w:t>
      </w:r>
    </w:p>
    <w:p>
      <w:pPr>
        <w:framePr w:w="1507" w:x="1798" w:y="54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其它情况说明</w:t>
      </w:r>
    </w:p>
    <w:p>
      <w:pPr>
        <w:framePr w:w="1817" w:x="1798" w:y="5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142" w:x="1798" w:y="617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4"/>
          <w:sz w:val="21"/>
          <w:szCs w:val="22"/>
          <w:lang w:val="en-US" w:eastAsia="en-US" w:bidi="ar-SA"/>
        </w:rPr>
        <w:t>二</w:t>
      </w:r>
      <w:r>
        <w:rPr>
          <w:rFonts w:ascii="Calibri" w:eastAsiaTheme="minorEastAsia" w:hAnsiTheme="minorHAnsi" w:cstheme="minorBidi"/>
          <w:b/>
          <w:color w:val="000000"/>
          <w:sz w:val="21"/>
          <w:szCs w:val="22"/>
          <w:lang w:val="en-US" w:eastAsia="en-US" w:bidi="ar-SA"/>
        </w:rPr>
        <w:t>)</w:t>
      </w:r>
      <w:r>
        <w:rPr>
          <w:rFonts w:ascii="Calibri" w:eastAsiaTheme="minorEastAsia" w:hAnsiTheme="minorHAnsi" w:cstheme="minorBidi"/>
          <w:b/>
          <w:color w:val="000000"/>
          <w:spacing w:val="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董事、监事、高级管理人员报告期内被授予的股权激励情况</w:t>
      </w:r>
    </w:p>
    <w:p>
      <w:pPr>
        <w:framePr w:w="1817" w:x="1798" w:y="6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70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76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二、公司董事、监事、高级管理人员变动情况</w:t>
      </w:r>
    </w:p>
    <w:p>
      <w:pPr>
        <w:framePr w:w="4464" w:x="1798" w:y="7675"/>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3020" w:y="8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姓名</w:t>
      </w:r>
    </w:p>
    <w:p>
      <w:pPr>
        <w:framePr w:w="2278" w:x="4719" w:y="8427"/>
        <w:widowControl w:val="0"/>
        <w:autoSpaceDE w:val="0"/>
        <w:autoSpaceDN w:val="0"/>
        <w:spacing w:line="211" w:lineRule="exact"/>
        <w:ind w:left="9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担任的职务</w:t>
      </w:r>
    </w:p>
    <w:p>
      <w:pPr>
        <w:framePr w:w="2278" w:x="4719" w:y="84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董事、副总经理</w:t>
      </w:r>
    </w:p>
    <w:p>
      <w:pPr>
        <w:framePr w:w="1085" w:x="8795" w:y="8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变动情形</w:t>
      </w:r>
    </w:p>
    <w:p>
      <w:pPr>
        <w:framePr w:w="662" w:x="1798" w:y="87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李壮</w:t>
      </w:r>
    </w:p>
    <w:p>
      <w:pPr>
        <w:framePr w:w="662" w:x="7801" w:y="87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离任</w:t>
      </w:r>
    </w:p>
    <w:p>
      <w:pPr>
        <w:framePr w:w="874" w:x="1798" w:y="8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刘相水</w:t>
      </w:r>
    </w:p>
    <w:p>
      <w:pPr>
        <w:framePr w:w="874" w:x="1798" w:y="89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门亮</w:t>
      </w:r>
    </w:p>
    <w:p>
      <w:pPr>
        <w:framePr w:w="1085" w:x="4719" w:y="8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副总经理</w:t>
      </w:r>
    </w:p>
    <w:p>
      <w:pPr>
        <w:framePr w:w="1085" w:x="4719" w:y="89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总经理</w:t>
      </w:r>
    </w:p>
    <w:p>
      <w:pPr>
        <w:framePr w:w="662" w:x="7801" w:y="8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聘任</w:t>
      </w:r>
    </w:p>
    <w:p>
      <w:pPr>
        <w:framePr w:w="662" w:x="7801" w:y="89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聘任</w:t>
      </w:r>
    </w:p>
    <w:p>
      <w:pPr>
        <w:framePr w:w="4675" w:x="1798" w:y="9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公司董事、监事、高级管理人员变动的情况说明</w:t>
      </w:r>
    </w:p>
    <w:p>
      <w:pPr>
        <w:framePr w:w="4675" w:x="1798" w:y="982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1798" w:y="111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三、其他说明</w:t>
      </w:r>
    </w:p>
    <w:p>
      <w:pPr>
        <w:framePr w:w="1817" w:x="1798" w:y="115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40" w:x="4563" w:y="11924"/>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第九节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1"/>
          <w:sz w:val="28"/>
          <w:szCs w:val="22"/>
          <w:lang w:val="en-US" w:eastAsia="en-US" w:bidi="ar-SA"/>
        </w:rPr>
        <w:t>公司债券相关情况</w:t>
      </w:r>
    </w:p>
    <w:p>
      <w:pPr>
        <w:framePr w:w="1817" w:x="1798" w:y="12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85" type="#_x0000_t75" style="width:445.6pt;height:2.7pt;margin-top:53.3pt;margin-left:87.45pt;mso-position-horizontal-relative:page;mso-position-vertical-relative:page;position:absolute;z-index:-251397120">
            <v:imagedata r:id="rId54" o:title=""/>
          </v:shape>
        </w:pict>
      </w:r>
      <w:r>
        <w:rPr>
          <w:noProof/>
        </w:rPr>
        <w:pict>
          <v:shape id="_x0000_s1086" type="#_x0000_t75" style="width:454.95pt;height:86.7pt;margin-top:171.85pt;margin-left:83.25pt;mso-position-horizontal-relative:page;mso-position-vertical-relative:page;position:absolute;z-index:-251488256">
            <v:imagedata r:id="rId55" o:title=""/>
          </v:shape>
        </w:pict>
      </w:r>
      <w:r>
        <w:rPr>
          <w:noProof/>
        </w:rPr>
        <w:pict>
          <v:shape id="_x0000_s1087" type="#_x0000_t75" style="width:447.3pt;height:59pt;margin-top:418.35pt;margin-left:87.1pt;mso-position-horizontal-relative:page;mso-position-vertical-relative:page;position:absolute;z-index:-251627520">
            <v:imagedata r:id="rId56" o:title=""/>
          </v:shape>
        </w:pict>
      </w:r>
    </w:p>
    <w:p>
      <w:pPr>
        <w:spacing w:line="0" w:lineRule="atLeast"/>
        <w:rPr>
          <w:rFonts w:ascii="Arial" w:eastAsiaTheme="minorEastAsia" w:hAnsiTheme="minorHAnsi" w:cstheme="minorBidi"/>
          <w:color w:val="FF0000"/>
          <w:sz w:val="2"/>
          <w:szCs w:val="22"/>
          <w:lang w:val="en-US" w:eastAsia="en-US" w:bidi="ar-SA"/>
        </w:rPr>
      </w:pPr>
      <w:bookmarkStart w:id="31" w:name="br1_30"/>
      <w:bookmarkEnd w:id="31"/>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417" w:x="5125" w:y="1543"/>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第十节</w:t>
      </w:r>
      <w:r>
        <w:rPr>
          <w:rFonts w:eastAsiaTheme="minorEastAsia" w:hAnsiTheme="minorHAnsi" w:cstheme="minorBidi"/>
          <w:color w:val="000000"/>
          <w:spacing w:val="139"/>
          <w:sz w:val="28"/>
          <w:szCs w:val="22"/>
          <w:lang w:val="en-US" w:eastAsia="en-US" w:bidi="ar-SA"/>
        </w:rPr>
        <w:t xml:space="preserve"> </w:t>
      </w:r>
      <w:r>
        <w:rPr>
          <w:rFonts w:ascii="SimHei" w:hAnsi="SimHei" w:eastAsiaTheme="minorEastAsia" w:cs="SimHei"/>
          <w:color w:val="000000"/>
          <w:spacing w:val="2"/>
          <w:sz w:val="28"/>
          <w:szCs w:val="22"/>
          <w:lang w:val="en-US" w:eastAsia="en-US" w:bidi="ar-SA"/>
        </w:rPr>
        <w:t>财务报告</w:t>
      </w:r>
    </w:p>
    <w:p>
      <w:pPr>
        <w:framePr w:w="1510"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一、审计报告</w:t>
      </w:r>
    </w:p>
    <w:p>
      <w:pPr>
        <w:framePr w:w="1817"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二、财务报表</w:t>
      </w:r>
    </w:p>
    <w:p>
      <w:pPr>
        <w:framePr w:w="1718" w:x="5475"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合并资产负债表</w:t>
      </w:r>
    </w:p>
    <w:p>
      <w:pPr>
        <w:framePr w:w="1870" w:x="5401" w:y="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w:t>
      </w:r>
    </w:p>
    <w:p>
      <w:pPr>
        <w:framePr w:w="3853" w:x="1798" w:y="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编制单位</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山东先达农化股份有限公司</w:t>
      </w:r>
    </w:p>
    <w:p>
      <w:pPr>
        <w:framePr w:w="3853" w:x="1798" w:y="4015"/>
        <w:widowControl w:val="0"/>
        <w:autoSpaceDE w:val="0"/>
        <w:autoSpaceDN w:val="0"/>
        <w:spacing w:before="348" w:line="211" w:lineRule="exact"/>
        <w:ind w:left="115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5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附注</w:t>
      </w:r>
    </w:p>
    <w:p>
      <w:pPr>
        <w:framePr w:w="3853" w:x="1798" w:y="4015"/>
        <w:widowControl w:val="0"/>
        <w:autoSpaceDE w:val="0"/>
        <w:autoSpaceDN w:val="0"/>
        <w:spacing w:before="365" w:line="211" w:lineRule="exact"/>
        <w:ind w:left="2943"/>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1</w:t>
      </w:r>
    </w:p>
    <w:p>
      <w:pPr>
        <w:framePr w:w="2343" w:x="8531" w:y="4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4289"/>
        <w:widowControl w:val="0"/>
        <w:autoSpaceDE w:val="0"/>
        <w:autoSpaceDN w:val="0"/>
        <w:spacing w:before="74" w:line="211" w:lineRule="exact"/>
        <w:ind w:left="1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1877" w:x="6224" w:y="45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w:t>
      </w:r>
    </w:p>
    <w:p>
      <w:pPr>
        <w:framePr w:w="1296" w:x="1798" w:y="48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085" w:x="2009" w:y="5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6741" w:y="51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364,533,475.51</w:t>
      </w:r>
    </w:p>
    <w:p>
      <w:pPr>
        <w:framePr w:w="1718" w:x="9148" w:y="51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718" w:x="9148" w:y="5151"/>
        <w:widowControl w:val="0"/>
        <w:autoSpaceDE w:val="0"/>
        <w:autoSpaceDN w:val="0"/>
        <w:spacing w:before="65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296" w:x="2009" w:y="5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结算备付金</w:t>
      </w:r>
    </w:p>
    <w:p>
      <w:pPr>
        <w:framePr w:w="1296" w:x="2009" w:y="543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拆出资金</w:t>
      </w:r>
    </w:p>
    <w:p>
      <w:pPr>
        <w:framePr w:w="1718" w:x="2009" w:y="60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601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601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768" w:x="4741" w:y="60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2</w:t>
      </w:r>
    </w:p>
    <w:p>
      <w:pPr>
        <w:framePr w:w="1718" w:x="6741" w:y="60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108,375,598.00</w:t>
      </w:r>
    </w:p>
    <w:p>
      <w:pPr>
        <w:framePr w:w="768" w:x="4741" w:y="65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4</w:t>
      </w:r>
    </w:p>
    <w:p>
      <w:pPr>
        <w:framePr w:w="768" w:x="4741" w:y="6588"/>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5</w:t>
      </w:r>
    </w:p>
    <w:p>
      <w:pPr>
        <w:framePr w:w="768" w:x="4741" w:y="658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6</w:t>
      </w:r>
    </w:p>
    <w:p>
      <w:pPr>
        <w:framePr w:w="768" w:x="4741" w:y="658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7</w:t>
      </w:r>
    </w:p>
    <w:p>
      <w:pPr>
        <w:framePr w:w="1718" w:x="6741" w:y="6588"/>
        <w:widowControl w:val="0"/>
        <w:autoSpaceDE w:val="0"/>
        <w:autoSpaceDN w:val="0"/>
        <w:spacing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718" w:x="6741" w:y="6588"/>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368,789,473.10</w:t>
      </w:r>
    </w:p>
    <w:p>
      <w:pPr>
        <w:framePr w:w="1718" w:x="6741" w:y="6588"/>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21,098,703.17</w:t>
      </w:r>
    </w:p>
    <w:p>
      <w:pPr>
        <w:framePr w:w="1718" w:x="6741" w:y="6588"/>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35,812,916.46</w:t>
      </w:r>
    </w:p>
    <w:p>
      <w:pPr>
        <w:framePr w:w="1718" w:x="9148" w:y="6588"/>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718" w:x="9148" w:y="6588"/>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286,626,640.04</w:t>
      </w:r>
    </w:p>
    <w:p>
      <w:pPr>
        <w:framePr w:w="1718" w:x="9148" w:y="6588"/>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718" w:x="9148" w:y="6588"/>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085" w:x="2009" w:y="68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507" w:x="2009" w:y="71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71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085" w:x="2009" w:y="7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应收保费</w:t>
      </w:r>
    </w:p>
    <w:p>
      <w:pPr>
        <w:framePr w:w="2141" w:x="2009" w:y="80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应收分保账款</w:t>
      </w:r>
    </w:p>
    <w:p>
      <w:pPr>
        <w:framePr w:w="2141" w:x="2009" w:y="802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应收分保合同准备金</w:t>
      </w:r>
    </w:p>
    <w:p>
      <w:pPr>
        <w:framePr w:w="2141" w:x="2009" w:y="802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874" w:x="4741" w:y="86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8</w:t>
      </w:r>
    </w:p>
    <w:p>
      <w:pPr>
        <w:framePr w:w="874" w:x="4741" w:y="8600"/>
        <w:widowControl w:val="0"/>
        <w:autoSpaceDE w:val="0"/>
        <w:autoSpaceDN w:val="0"/>
        <w:spacing w:before="938"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z w:val="21"/>
          <w:szCs w:val="22"/>
          <w:lang w:val="en-US" w:eastAsia="en-US" w:bidi="ar-SA"/>
        </w:rPr>
        <w:t>9</w:t>
      </w:r>
    </w:p>
    <w:p>
      <w:pPr>
        <w:framePr w:w="874" w:x="4741" w:y="8600"/>
        <w:widowControl w:val="0"/>
        <w:autoSpaceDE w:val="0"/>
        <w:autoSpaceDN w:val="0"/>
        <w:spacing w:before="936"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13</w:t>
      </w:r>
    </w:p>
    <w:p>
      <w:pPr>
        <w:framePr w:w="1507" w:x="6952" w:y="86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1,417,664.32</w:t>
      </w:r>
    </w:p>
    <w:p>
      <w:pPr>
        <w:framePr w:w="1507" w:x="9360" w:y="86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718" w:x="2009" w:y="8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8885"/>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930" w:x="2009" w:y="9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买入返售金融资产</w:t>
      </w:r>
    </w:p>
    <w:p>
      <w:pPr>
        <w:framePr w:w="1930" w:x="2009" w:y="946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6741" w:y="97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473,216,860.31</w:t>
      </w:r>
    </w:p>
    <w:p>
      <w:pPr>
        <w:framePr w:w="1718" w:x="9148" w:y="97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433,650,594.00</w:t>
      </w:r>
    </w:p>
    <w:p>
      <w:pPr>
        <w:framePr w:w="1085" w:x="2009" w:y="10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1032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1032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10323"/>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10323"/>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1032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2765" w:x="1798" w:y="1032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发放贷款和垫款</w:t>
      </w:r>
    </w:p>
    <w:p>
      <w:pPr>
        <w:framePr w:w="2765" w:x="1798" w:y="10323"/>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1613" w:x="6846" w:y="108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78,841,412.63</w:t>
      </w:r>
    </w:p>
    <w:p>
      <w:pPr>
        <w:framePr w:w="1613" w:x="9254" w:y="108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930" w:x="6532" w:y="111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1,452,136,103.50</w:t>
      </w:r>
    </w:p>
    <w:p>
      <w:pPr>
        <w:framePr w:w="1930" w:x="8939" w:y="111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1,412,505,608.75</w:t>
      </w:r>
    </w:p>
    <w:p>
      <w:pPr>
        <w:framePr w:w="1507" w:x="2009" w:y="123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1507" w:x="2009" w:y="1233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129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12911"/>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1291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1291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12911"/>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874" w:x="4741" w:y="137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20</w:t>
      </w:r>
    </w:p>
    <w:p>
      <w:pPr>
        <w:framePr w:w="874" w:x="4741" w:y="13772"/>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21</w:t>
      </w:r>
    </w:p>
    <w:p>
      <w:pPr>
        <w:framePr w:w="874" w:x="4741" w:y="1377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22</w:t>
      </w:r>
    </w:p>
    <w:p>
      <w:pPr>
        <w:framePr w:w="1718" w:x="6741" w:y="13772"/>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2,857,970.04</w:t>
      </w:r>
    </w:p>
    <w:p>
      <w:pPr>
        <w:framePr w:w="1718" w:x="6741" w:y="13772"/>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269,157,754.58</w:t>
      </w:r>
    </w:p>
    <w:p>
      <w:pPr>
        <w:framePr w:w="1718" w:x="6741" w:y="1377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467,376,364.38</w:t>
      </w:r>
    </w:p>
    <w:p>
      <w:pPr>
        <w:framePr w:w="1718" w:x="9148" w:y="13772"/>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718" w:x="9148" w:y="13772"/>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718" w:x="9148" w:y="1377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1085" w:x="2009" w:y="143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146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14634"/>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88" type="#_x0000_t75" style="width:445.6pt;height:2.7pt;margin-top:53.3pt;margin-left:87.45pt;mso-position-horizontal-relative:page;mso-position-vertical-relative:page;position:absolute;z-index:-251487232">
            <v:imagedata r:id="rId57" o:title=""/>
          </v:shape>
        </w:pict>
      </w:r>
      <w:r>
        <w:rPr>
          <w:noProof/>
        </w:rPr>
        <w:pict>
          <v:shape id="_x0000_s1089" type="#_x0000_t75" style="width:454.7pt;height:534.4pt;margin-top:225.5pt;margin-left:83.15pt;mso-position-horizontal-relative:page;mso-position-vertical-relative:page;position:absolute;z-index:-251626496">
            <v:imagedata r:id="rId58" o:title=""/>
          </v:shape>
        </w:pict>
      </w:r>
    </w:p>
    <w:p>
      <w:pPr>
        <w:spacing w:line="0" w:lineRule="atLeast"/>
        <w:rPr>
          <w:rFonts w:ascii="Arial" w:eastAsiaTheme="minorEastAsia" w:hAnsiTheme="minorHAnsi" w:cstheme="minorBidi"/>
          <w:color w:val="FF0000"/>
          <w:sz w:val="2"/>
          <w:szCs w:val="22"/>
          <w:lang w:val="en-US" w:eastAsia="en-US" w:bidi="ar-SA"/>
        </w:rPr>
      </w:pPr>
      <w:bookmarkStart w:id="32" w:name="br1_31"/>
      <w:bookmarkEnd w:id="32"/>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296" w:x="2009"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296" w:x="2009"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874" w:x="474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26</w:t>
      </w:r>
    </w:p>
    <w:p>
      <w:pPr>
        <w:framePr w:w="1718" w:x="674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117,349,722.53</w:t>
      </w:r>
    </w:p>
    <w:p>
      <w:pPr>
        <w:framePr w:w="1718" w:x="9148"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118,694,309.33</w:t>
      </w:r>
    </w:p>
    <w:p>
      <w:pPr>
        <w:framePr w:w="1085" w:x="2009" w:y="2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2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270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270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2702"/>
        <w:widowControl w:val="0"/>
        <w:autoSpaceDE w:val="0"/>
        <w:autoSpaceDN w:val="0"/>
        <w:spacing w:before="77"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2702"/>
        <w:widowControl w:val="0"/>
        <w:autoSpaceDE w:val="0"/>
        <w:autoSpaceDN w:val="0"/>
        <w:spacing w:before="7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874" w:x="4741"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30</w:t>
      </w:r>
    </w:p>
    <w:p>
      <w:pPr>
        <w:framePr w:w="874" w:x="4741" w:y="298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31</w:t>
      </w:r>
    </w:p>
    <w:p>
      <w:pPr>
        <w:framePr w:w="1613" w:x="6846"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11,226,061.60</w:t>
      </w:r>
    </w:p>
    <w:p>
      <w:pPr>
        <w:framePr w:w="1613" w:x="6846" w:y="298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46,595,718.79</w:t>
      </w:r>
    </w:p>
    <w:p>
      <w:pPr>
        <w:framePr w:w="1613" w:x="9254" w:y="298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613" w:x="9254" w:y="2988"/>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930" w:x="6532" w:y="3564"/>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914,563,591.92</w:t>
      </w:r>
    </w:p>
    <w:p>
      <w:pPr>
        <w:framePr w:w="1930" w:x="6532"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2,366,699,695.42</w:t>
      </w:r>
    </w:p>
    <w:p>
      <w:pPr>
        <w:framePr w:w="1930" w:x="8939" w:y="3564"/>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891,639,864.53</w:t>
      </w:r>
    </w:p>
    <w:p>
      <w:pPr>
        <w:framePr w:w="1930" w:x="8939" w:y="3564"/>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2,304,145,473.28</w:t>
      </w:r>
    </w:p>
    <w:p>
      <w:pPr>
        <w:framePr w:w="1296" w:x="1798"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085" w:x="2009" w:y="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874" w:x="4741" w:y="4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32</w:t>
      </w:r>
    </w:p>
    <w:p>
      <w:pPr>
        <w:framePr w:w="874" w:x="4741" w:y="4425"/>
        <w:widowControl w:val="0"/>
        <w:autoSpaceDE w:val="0"/>
        <w:autoSpaceDN w:val="0"/>
        <w:spacing w:before="651"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33</w:t>
      </w:r>
    </w:p>
    <w:p>
      <w:pPr>
        <w:framePr w:w="1613" w:x="9254" w:y="4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613" w:x="9254" w:y="4425"/>
        <w:widowControl w:val="0"/>
        <w:autoSpaceDE w:val="0"/>
        <w:autoSpaceDN w:val="0"/>
        <w:spacing w:before="651"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2009" w:y="4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向中央银行借款</w:t>
      </w:r>
    </w:p>
    <w:p>
      <w:pPr>
        <w:framePr w:w="1718" w:x="2009" w:y="471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拆入资金</w:t>
      </w:r>
    </w:p>
    <w:p>
      <w:pPr>
        <w:framePr w:w="1718" w:x="2009" w:y="5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528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528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507" w:x="6952"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874" w:x="4741" w:y="58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35</w:t>
      </w:r>
    </w:p>
    <w:p>
      <w:pPr>
        <w:framePr w:w="874" w:x="4741" w:y="586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36</w:t>
      </w:r>
    </w:p>
    <w:p>
      <w:pPr>
        <w:framePr w:w="874" w:x="4741" w:y="5863"/>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37</w:t>
      </w:r>
    </w:p>
    <w:p>
      <w:pPr>
        <w:framePr w:w="874" w:x="4741" w:y="5863"/>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38</w:t>
      </w:r>
    </w:p>
    <w:p>
      <w:pPr>
        <w:framePr w:w="1718" w:x="6741" w:y="58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314,250,000.00</w:t>
      </w:r>
    </w:p>
    <w:p>
      <w:pPr>
        <w:framePr w:w="1718" w:x="6741" w:y="586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203,784,605.59</w:t>
      </w:r>
    </w:p>
    <w:p>
      <w:pPr>
        <w:framePr w:w="1718" w:x="9148" w:y="58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9148" w:y="586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1718" w:x="9148" w:y="5863"/>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085" w:x="2009" w:y="6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6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085" w:x="2009" w:y="6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613" w:x="6846" w:y="67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87,438,957.62</w:t>
      </w:r>
    </w:p>
    <w:p>
      <w:pPr>
        <w:framePr w:w="2141" w:x="2009" w:y="70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卖出回购金融资产款</w:t>
      </w:r>
    </w:p>
    <w:p>
      <w:pPr>
        <w:framePr w:w="2141" w:x="2009" w:y="701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吸收存款及同业存放</w:t>
      </w:r>
    </w:p>
    <w:p>
      <w:pPr>
        <w:framePr w:w="2141" w:x="2009" w:y="701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代理买卖证券款</w:t>
      </w:r>
    </w:p>
    <w:p>
      <w:pPr>
        <w:framePr w:w="2141" w:x="2009" w:y="701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代理承销证券款</w:t>
      </w:r>
    </w:p>
    <w:p>
      <w:pPr>
        <w:framePr w:w="2141" w:x="2009" w:y="7011"/>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2141" w:x="2009" w:y="701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874" w:x="4741" w:y="81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39</w:t>
      </w:r>
    </w:p>
    <w:p>
      <w:pPr>
        <w:framePr w:w="874" w:x="4741" w:y="816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40</w:t>
      </w:r>
    </w:p>
    <w:p>
      <w:pPr>
        <w:framePr w:w="874" w:x="4741" w:y="8160"/>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41</w:t>
      </w:r>
    </w:p>
    <w:p>
      <w:pPr>
        <w:framePr w:w="1613" w:x="6846" w:y="81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27,263,873.26</w:t>
      </w:r>
    </w:p>
    <w:p>
      <w:pPr>
        <w:framePr w:w="1613" w:x="6846" w:y="8160"/>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5,854,684.32</w:t>
      </w:r>
    </w:p>
    <w:p>
      <w:pPr>
        <w:framePr w:w="1613" w:x="6846" w:y="8160"/>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2,209,870.29</w:t>
      </w:r>
    </w:p>
    <w:p>
      <w:pPr>
        <w:framePr w:w="1613" w:x="9254" w:y="81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9254" w:y="8160"/>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9254" w:y="8160"/>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296" w:x="2009" w:y="8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9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9025"/>
        <w:widowControl w:val="0"/>
        <w:autoSpaceDE w:val="0"/>
        <w:autoSpaceDN w:val="0"/>
        <w:spacing w:before="74"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2765" w:x="1798" w:y="9598"/>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应付手续费及佣金</w:t>
      </w:r>
    </w:p>
    <w:p>
      <w:pPr>
        <w:framePr w:w="2765" w:x="1798" w:y="959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应付分保账款</w:t>
      </w:r>
    </w:p>
    <w:p>
      <w:pPr>
        <w:framePr w:w="2765" w:x="1798" w:y="9598"/>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959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959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9598"/>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9598"/>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959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保险合同准备金</w:t>
      </w:r>
    </w:p>
    <w:p>
      <w:pPr>
        <w:framePr w:w="2765" w:x="1798" w:y="9598"/>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874" w:x="4741" w:y="104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42</w:t>
      </w:r>
    </w:p>
    <w:p>
      <w:pPr>
        <w:framePr w:w="874" w:x="4741" w:y="10460"/>
        <w:widowControl w:val="0"/>
        <w:autoSpaceDE w:val="0"/>
        <w:autoSpaceDN w:val="0"/>
        <w:spacing w:before="1226"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45</w:t>
      </w:r>
    </w:p>
    <w:p>
      <w:pPr>
        <w:framePr w:w="1718" w:x="6741" w:y="1046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12,250,000.00</w:t>
      </w:r>
    </w:p>
    <w:p>
      <w:pPr>
        <w:framePr w:w="1718" w:x="6741" w:y="10460"/>
        <w:widowControl w:val="0"/>
        <w:autoSpaceDE w:val="0"/>
        <w:autoSpaceDN w:val="0"/>
        <w:spacing w:before="365"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655,723,420.98</w:t>
      </w:r>
    </w:p>
    <w:p>
      <w:pPr>
        <w:framePr w:w="1718" w:x="9148" w:y="1046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718" w:x="9148" w:y="10460"/>
        <w:widowControl w:val="0"/>
        <w:autoSpaceDE w:val="0"/>
        <w:autoSpaceDN w:val="0"/>
        <w:spacing w:before="365"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588,425,390.84</w:t>
      </w:r>
    </w:p>
    <w:p>
      <w:pPr>
        <w:framePr w:w="1613" w:x="6846" w:y="118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57,250,000.00</w:t>
      </w:r>
    </w:p>
    <w:p>
      <w:pPr>
        <w:framePr w:w="1718" w:x="9148" w:y="118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085" w:x="2009" w:y="121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12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12472"/>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13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296" w:x="2009" w:y="13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136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1362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874" w:x="4741" w:y="13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50</w:t>
      </w:r>
    </w:p>
    <w:p>
      <w:pPr>
        <w:framePr w:w="874" w:x="4741" w:y="139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51</w:t>
      </w:r>
    </w:p>
    <w:p>
      <w:pPr>
        <w:framePr w:w="874" w:x="4741" w:y="13909"/>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30</w:t>
      </w:r>
    </w:p>
    <w:p>
      <w:pPr>
        <w:framePr w:w="1613" w:x="6846" w:y="13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10,614,470.38</w:t>
      </w:r>
    </w:p>
    <w:p>
      <w:pPr>
        <w:framePr w:w="1613" w:x="6846" w:y="139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19,157,327.20</w:t>
      </w:r>
    </w:p>
    <w:p>
      <w:pPr>
        <w:framePr w:w="1613" w:x="6846" w:y="13909"/>
        <w:widowControl w:val="0"/>
        <w:autoSpaceDE w:val="0"/>
        <w:autoSpaceDN w:val="0"/>
        <w:spacing w:before="74"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63,790.24</w:t>
      </w:r>
    </w:p>
    <w:p>
      <w:pPr>
        <w:framePr w:w="1613" w:x="9254" w:y="13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9254" w:y="139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9254" w:y="13909"/>
        <w:widowControl w:val="0"/>
        <w:autoSpaceDE w:val="0"/>
        <w:autoSpaceDN w:val="0"/>
        <w:spacing w:before="74"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085" w:x="2009" w:y="14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923" w:x="2009" w:y="14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1448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14483"/>
        <w:widowControl w:val="0"/>
        <w:autoSpaceDE w:val="0"/>
        <w:autoSpaceDN w:val="0"/>
        <w:spacing w:before="77"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613" w:x="6846"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87,085,587.82</w:t>
      </w:r>
    </w:p>
    <w:p>
      <w:pPr>
        <w:framePr w:w="1718" w:x="9148"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158,543,701.74</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0" type="#_x0000_t75" style="width:445.6pt;height:2.7pt;margin-top:53.3pt;margin-left:87.45pt;mso-position-horizontal-relative:page;mso-position-vertical-relative:page;position:absolute;z-index:-251486208">
            <v:imagedata r:id="rId59" o:title=""/>
          </v:shape>
        </w:pict>
      </w:r>
      <w:r>
        <w:rPr>
          <w:noProof/>
        </w:rPr>
        <w:pict>
          <v:shape id="_x0000_s1091" type="#_x0000_t75" style="width:454.7pt;height:692.6pt;margin-top:74.3pt;margin-left:83.15pt;mso-position-horizontal-relative:page;mso-position-vertical-relative:page;position:absolute;z-index:-251625472">
            <v:imagedata r:id="rId60" o:title=""/>
          </v:shape>
        </w:pict>
      </w:r>
    </w:p>
    <w:p>
      <w:pPr>
        <w:spacing w:line="0" w:lineRule="atLeast"/>
        <w:rPr>
          <w:rFonts w:ascii="Arial" w:eastAsiaTheme="minorEastAsia" w:hAnsiTheme="minorHAnsi" w:cstheme="minorBidi"/>
          <w:color w:val="FF0000"/>
          <w:sz w:val="2"/>
          <w:szCs w:val="22"/>
          <w:lang w:val="en-US" w:eastAsia="en-US" w:bidi="ar-SA"/>
        </w:rPr>
      </w:pPr>
      <w:bookmarkStart w:id="33" w:name="br1_32"/>
      <w:bookmarkEnd w:id="33"/>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986" w:x="1798" w:y="1553"/>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2986" w:x="1798"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155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155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1718" w:x="6741"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742,809,008.80</w:t>
      </w:r>
    </w:p>
    <w:p>
      <w:pPr>
        <w:framePr w:w="1718" w:x="9148"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746,969,092.58</w:t>
      </w:r>
    </w:p>
    <w:p>
      <w:pPr>
        <w:framePr w:w="1718" w:x="9148" w:y="1553"/>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874" w:x="4741" w:y="21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53</w:t>
      </w:r>
    </w:p>
    <w:p>
      <w:pPr>
        <w:framePr w:w="874" w:x="4741" w:y="2126"/>
        <w:widowControl w:val="0"/>
        <w:autoSpaceDE w:val="0"/>
        <w:autoSpaceDN w:val="0"/>
        <w:spacing w:before="938"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55</w:t>
      </w:r>
    </w:p>
    <w:p>
      <w:pPr>
        <w:framePr w:w="1718" w:x="6741" w:y="21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156,800,000.00</w:t>
      </w:r>
    </w:p>
    <w:p>
      <w:pPr>
        <w:framePr w:w="1507" w:x="2009" w:y="2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874" w:x="2638" w:y="2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3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718" w:x="6741" w:y="32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400,221,562.58</w:t>
      </w:r>
    </w:p>
    <w:p>
      <w:pPr>
        <w:framePr w:w="1718" w:x="9148" w:y="32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1296" w:x="2009" w:y="3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3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085" w:x="2009"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874" w:x="4741"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58</w:t>
      </w:r>
    </w:p>
    <w:p>
      <w:pPr>
        <w:framePr w:w="874" w:x="4741" w:y="41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59</w:t>
      </w:r>
    </w:p>
    <w:p>
      <w:pPr>
        <w:framePr w:w="1613" w:x="6846"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43,491,829.34</w:t>
      </w:r>
    </w:p>
    <w:p>
      <w:pPr>
        <w:framePr w:w="1613" w:x="6846" w:y="41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613" w:x="9254"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9254" w:y="41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085" w:x="2009" w:y="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507" w:x="2009" w:y="4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一般风险准备</w:t>
      </w:r>
    </w:p>
    <w:p>
      <w:pPr>
        <w:framePr w:w="1296" w:x="2009" w:y="49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874" w:x="4741" w:y="4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60</w:t>
      </w:r>
    </w:p>
    <w:p>
      <w:pPr>
        <w:framePr w:w="1718" w:x="6741" w:y="4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966,833,009.01</w:t>
      </w:r>
    </w:p>
    <w:p>
      <w:pPr>
        <w:framePr w:w="1718" w:x="9148" w:y="49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2765" w:x="1798" w:y="5288"/>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归属于母公司所有者权益</w:t>
      </w:r>
    </w:p>
    <w:p>
      <w:pPr>
        <w:framePr w:w="2765" w:x="1798" w:y="528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（或股东权益）合计</w:t>
      </w:r>
    </w:p>
    <w:p>
      <w:pPr>
        <w:framePr w:w="2765" w:x="1798" w:y="5288"/>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w:t>
      </w:r>
    </w:p>
    <w:p>
      <w:pPr>
        <w:framePr w:w="1930" w:x="6532"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1,623,890,686.62</w:t>
      </w:r>
    </w:p>
    <w:p>
      <w:pPr>
        <w:framePr w:w="1930" w:x="8939" w:y="52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1,557,176,380.70</w:t>
      </w:r>
    </w:p>
    <w:p>
      <w:pPr>
        <w:framePr w:w="2763" w:x="1798" w:y="61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w:t>
      </w:r>
    </w:p>
    <w:p>
      <w:pPr>
        <w:framePr w:w="2763" w:x="1798" w:y="613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益）合计</w:t>
      </w:r>
    </w:p>
    <w:p>
      <w:pPr>
        <w:framePr w:w="1930" w:x="6532" w:y="61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1,623,890,686.62</w:t>
      </w:r>
    </w:p>
    <w:p>
      <w:pPr>
        <w:framePr w:w="1930" w:x="6532" w:y="6135"/>
        <w:widowControl w:val="0"/>
        <w:autoSpaceDE w:val="0"/>
        <w:autoSpaceDN w:val="0"/>
        <w:spacing w:before="34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2,366,699,695.42</w:t>
      </w:r>
    </w:p>
    <w:p>
      <w:pPr>
        <w:framePr w:w="1930" w:x="8939" w:y="61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1,557,176,380.70</w:t>
      </w:r>
    </w:p>
    <w:p>
      <w:pPr>
        <w:framePr w:w="1930" w:x="8939" w:y="6135"/>
        <w:widowControl w:val="0"/>
        <w:autoSpaceDE w:val="0"/>
        <w:autoSpaceDN w:val="0"/>
        <w:spacing w:before="34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2,304,145,473.28</w:t>
      </w:r>
    </w:p>
    <w:p>
      <w:pPr>
        <w:framePr w:w="2972" w:x="1798" w:y="6694"/>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负债和所有者权益（或</w:t>
      </w:r>
    </w:p>
    <w:p>
      <w:pPr>
        <w:framePr w:w="2972" w:x="1798" w:y="669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股东权益）总计</w:t>
      </w:r>
    </w:p>
    <w:p>
      <w:pPr>
        <w:framePr w:w="2141" w:x="1798" w:y="7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530" w:y="7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205" w:y="7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930" w:x="5370" w:y="8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母公司资产负债表</w:t>
      </w:r>
    </w:p>
    <w:p>
      <w:pPr>
        <w:framePr w:w="1870" w:x="5401" w:y="84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w:t>
      </w:r>
    </w:p>
    <w:p>
      <w:pPr>
        <w:framePr w:w="3725" w:x="1798" w:y="8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编制单位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山东先达农化股份有限公司</w:t>
      </w:r>
    </w:p>
    <w:p>
      <w:pPr>
        <w:framePr w:w="2343" w:x="8531" w:y="90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9008"/>
        <w:widowControl w:val="0"/>
        <w:autoSpaceDE w:val="0"/>
        <w:autoSpaceDN w:val="0"/>
        <w:spacing w:before="77" w:line="211" w:lineRule="exact"/>
        <w:ind w:left="1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p>
    <w:p>
      <w:pPr>
        <w:framePr w:w="2701" w:x="2950" w:y="9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5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附注</w:t>
      </w:r>
    </w:p>
    <w:p>
      <w:pPr>
        <w:framePr w:w="1877" w:x="6224" w:y="92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w:t>
      </w:r>
    </w:p>
    <w:p>
      <w:pPr>
        <w:framePr w:w="1296" w:x="1798" w:y="95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296" w:x="1798" w:y="9584"/>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6741" w:y="98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245,287,177.08</w:t>
      </w:r>
    </w:p>
    <w:p>
      <w:pPr>
        <w:framePr w:w="1718" w:x="9148" w:y="98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301,620,107.59</w:t>
      </w:r>
    </w:p>
    <w:p>
      <w:pPr>
        <w:framePr w:w="1718" w:x="9148" w:y="986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1718" w:x="2009" w:y="101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1015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1015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718" w:x="9148" w:y="10733"/>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718" w:x="9148" w:y="1073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186,562,689.47</w:t>
      </w:r>
    </w:p>
    <w:p>
      <w:pPr>
        <w:framePr w:w="1718" w:x="9148" w:y="10733"/>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43,532,653.90</w:t>
      </w:r>
    </w:p>
    <w:p>
      <w:pPr>
        <w:framePr w:w="1718" w:x="9148" w:y="10733"/>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138,947,809.00</w:t>
      </w:r>
    </w:p>
    <w:p>
      <w:pPr>
        <w:framePr w:w="1718" w:x="9148" w:y="10733"/>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085" w:x="2009" w:y="11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979" w:x="4741" w:y="110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十七、</w:t>
      </w:r>
      <w:r>
        <w:rPr>
          <w:rFonts w:ascii="SimSun" w:eastAsiaTheme="minorEastAsia" w:hAnsiTheme="minorHAnsi" w:cstheme="minorBidi"/>
          <w:color w:val="000000"/>
          <w:sz w:val="21"/>
          <w:szCs w:val="22"/>
          <w:lang w:val="en-US" w:eastAsia="en-US" w:bidi="ar-SA"/>
        </w:rPr>
        <w:t>1</w:t>
      </w:r>
    </w:p>
    <w:p>
      <w:pPr>
        <w:framePr w:w="979" w:x="4741" w:y="11019"/>
        <w:widowControl w:val="0"/>
        <w:autoSpaceDE w:val="0"/>
        <w:autoSpaceDN w:val="0"/>
        <w:spacing w:before="653"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十七、</w:t>
      </w:r>
      <w:r>
        <w:rPr>
          <w:rFonts w:ascii="SimSun" w:eastAsiaTheme="minorEastAsia" w:hAnsiTheme="minorHAnsi" w:cstheme="minorBidi"/>
          <w:color w:val="000000"/>
          <w:sz w:val="21"/>
          <w:szCs w:val="22"/>
          <w:lang w:val="en-US" w:eastAsia="en-US" w:bidi="ar-SA"/>
        </w:rPr>
        <w:t>2</w:t>
      </w:r>
    </w:p>
    <w:p>
      <w:pPr>
        <w:framePr w:w="1718" w:x="6741" w:y="110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256,693,809.09</w:t>
      </w:r>
    </w:p>
    <w:p>
      <w:pPr>
        <w:framePr w:w="1718" w:x="6741" w:y="11019"/>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15,665,103.17</w:t>
      </w:r>
    </w:p>
    <w:p>
      <w:pPr>
        <w:framePr w:w="1718" w:x="6741" w:y="1101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143,984,153.40</w:t>
      </w:r>
    </w:p>
    <w:p>
      <w:pPr>
        <w:framePr w:w="1718" w:x="6741" w:y="1101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314,183,238.62</w:t>
      </w:r>
    </w:p>
    <w:p>
      <w:pPr>
        <w:framePr w:w="1507" w:x="2009" w:y="11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1130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718" w:x="2009" w:y="118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8" w:x="2009" w:y="11883"/>
        <w:widowControl w:val="0"/>
        <w:autoSpaceDE w:val="0"/>
        <w:autoSpaceDN w:val="0"/>
        <w:spacing w:before="7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11883"/>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662" w:x="2009" w:y="1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6741" w:y="127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257,066,470.79</w:t>
      </w:r>
    </w:p>
    <w:p>
      <w:pPr>
        <w:framePr w:w="1718" w:x="9148" w:y="127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162,745,047.66</w:t>
      </w:r>
    </w:p>
    <w:p>
      <w:pPr>
        <w:framePr w:w="1085" w:x="2009" w:y="130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13319"/>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13319"/>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13319"/>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13319"/>
        <w:widowControl w:val="0"/>
        <w:autoSpaceDE w:val="0"/>
        <w:autoSpaceDN w:val="0"/>
        <w:spacing w:before="7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1331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2765" w:x="1798" w:y="13319"/>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1507" w:x="6952" w:y="13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6,938,615.56</w:t>
      </w:r>
    </w:p>
    <w:p>
      <w:pPr>
        <w:framePr w:w="1507" w:x="9360" w:y="13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4,401,283.22</w:t>
      </w:r>
    </w:p>
    <w:p>
      <w:pPr>
        <w:framePr w:w="1930" w:x="6532" w:y="141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1,239,818,567.71</w:t>
      </w:r>
    </w:p>
    <w:p>
      <w:pPr>
        <w:framePr w:w="1930" w:x="8939" w:y="141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1,076,508,666.04</w:t>
      </w:r>
    </w:p>
    <w:p>
      <w:pPr>
        <w:framePr w:w="1507" w:x="2009" w:y="150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2" type="#_x0000_t75" style="width:445.6pt;height:2.7pt;margin-top:53.3pt;margin-left:87.45pt;mso-position-horizontal-relative:page;mso-position-vertical-relative:page;position:absolute;z-index:-251396096">
            <v:imagedata r:id="rId61" o:title=""/>
          </v:shape>
        </w:pict>
      </w:r>
      <w:r>
        <w:rPr>
          <w:noProof/>
        </w:rPr>
        <w:pict>
          <v:shape id="_x0000_s1093" type="#_x0000_t75" style="width:454.7pt;height:287.9pt;margin-top:74.3pt;margin-left:83.15pt;mso-position-horizontal-relative:page;mso-position-vertical-relative:page;position:absolute;z-index:-251485184">
            <v:imagedata r:id="rId62" o:title=""/>
          </v:shape>
        </w:pict>
      </w:r>
      <w:r>
        <w:rPr>
          <w:noProof/>
        </w:rPr>
        <w:pict>
          <v:shape id="_x0000_s1094" type="#_x0000_t75" style="width:454.7pt;height:304.45pt;margin-top:461.6pt;margin-left:83.15pt;mso-position-horizontal-relative:page;mso-position-vertical-relative:page;position:absolute;z-index:-251624448">
            <v:imagedata r:id="rId63" o:title=""/>
          </v:shape>
        </w:pict>
      </w:r>
    </w:p>
    <w:p>
      <w:pPr>
        <w:spacing w:line="0" w:lineRule="atLeast"/>
        <w:rPr>
          <w:rFonts w:ascii="Arial" w:eastAsiaTheme="minorEastAsia" w:hAnsiTheme="minorHAnsi" w:cstheme="minorBidi"/>
          <w:color w:val="FF0000"/>
          <w:sz w:val="2"/>
          <w:szCs w:val="22"/>
          <w:lang w:val="en-US" w:eastAsia="en-US" w:bidi="ar-SA"/>
        </w:rPr>
      </w:pPr>
      <w:bookmarkStart w:id="34" w:name="br1_33"/>
      <w:bookmarkEnd w:id="34"/>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141" w:x="2009"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155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155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155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979" w:x="474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十七、</w:t>
      </w:r>
      <w:r>
        <w:rPr>
          <w:rFonts w:ascii="SimSun" w:eastAsiaTheme="minorEastAsia" w:hAnsiTheme="minorHAnsi" w:cstheme="minorBidi"/>
          <w:color w:val="000000"/>
          <w:sz w:val="21"/>
          <w:szCs w:val="22"/>
          <w:lang w:val="en-US" w:eastAsia="en-US" w:bidi="ar-SA"/>
        </w:rPr>
        <w:t>3</w:t>
      </w:r>
    </w:p>
    <w:p>
      <w:pPr>
        <w:framePr w:w="1718" w:x="674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9148"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613" w:x="6846"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32,642,702.75</w:t>
      </w:r>
    </w:p>
    <w:p>
      <w:pPr>
        <w:framePr w:w="1613" w:x="6846" w:y="2988"/>
        <w:widowControl w:val="0"/>
        <w:autoSpaceDE w:val="0"/>
        <w:autoSpaceDN w:val="0"/>
        <w:spacing w:before="7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439,804.11</w:t>
      </w:r>
    </w:p>
    <w:p>
      <w:pPr>
        <w:framePr w:w="1613" w:x="9254"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36,073,715.34</w:t>
      </w:r>
    </w:p>
    <w:p>
      <w:pPr>
        <w:framePr w:w="1613" w:x="9254" w:y="2988"/>
        <w:widowControl w:val="0"/>
        <w:autoSpaceDE w:val="0"/>
        <w:autoSpaceDN w:val="0"/>
        <w:spacing w:before="7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121,061.32</w:t>
      </w:r>
    </w:p>
    <w:p>
      <w:pPr>
        <w:framePr w:w="1085" w:x="2009" w:y="3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3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3564"/>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296" w:x="2009" w:y="413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507" w:x="6952" w:y="4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2,744,067.31</w:t>
      </w:r>
    </w:p>
    <w:p>
      <w:pPr>
        <w:framePr w:w="1507" w:x="9360" w:y="4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2,838,406.99</w:t>
      </w:r>
    </w:p>
    <w:p>
      <w:pPr>
        <w:framePr w:w="1085" w:x="2009" w:y="4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49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5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528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528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5288"/>
        <w:widowControl w:val="0"/>
        <w:autoSpaceDE w:val="0"/>
        <w:autoSpaceDN w:val="0"/>
        <w:spacing w:before="74"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5288"/>
        <w:widowControl w:val="0"/>
        <w:autoSpaceDE w:val="0"/>
        <w:autoSpaceDN w:val="0"/>
        <w:spacing w:before="7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1507" w:x="6952"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4,789,309.72</w:t>
      </w:r>
    </w:p>
    <w:p>
      <w:pPr>
        <w:framePr w:w="1507" w:x="6952" w:y="5575"/>
        <w:widowControl w:val="0"/>
        <w:autoSpaceDE w:val="0"/>
        <w:autoSpaceDN w:val="0"/>
        <w:spacing w:before="77"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888,872.10</w:t>
      </w:r>
    </w:p>
    <w:p>
      <w:pPr>
        <w:framePr w:w="1507" w:x="9360" w:y="55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4,491,824.02</w:t>
      </w:r>
    </w:p>
    <w:p>
      <w:pPr>
        <w:framePr w:w="1507" w:x="9360" w:y="5575"/>
        <w:widowControl w:val="0"/>
        <w:autoSpaceDE w:val="0"/>
        <w:autoSpaceDN w:val="0"/>
        <w:spacing w:before="77"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222,495.12</w:t>
      </w:r>
    </w:p>
    <w:p>
      <w:pPr>
        <w:framePr w:w="1930" w:x="6532" w:y="6149"/>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498,370,927.32</w:t>
      </w:r>
    </w:p>
    <w:p>
      <w:pPr>
        <w:framePr w:w="1930" w:x="6532" w:y="614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1,738,189,495.03</w:t>
      </w:r>
    </w:p>
    <w:p>
      <w:pPr>
        <w:framePr w:w="1930" w:x="8939" w:y="6149"/>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500,613,674.12</w:t>
      </w:r>
    </w:p>
    <w:p>
      <w:pPr>
        <w:framePr w:w="1930" w:x="8939" w:y="614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p>
    <w:p>
      <w:pPr>
        <w:framePr w:w="1296" w:x="1798" w:y="67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296" w:x="1798" w:y="6725"/>
        <w:widowControl w:val="0"/>
        <w:autoSpaceDE w:val="0"/>
        <w:autoSpaceDN w:val="0"/>
        <w:spacing w:before="7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718" w:x="2009" w:y="7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72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729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507" w:x="6952" w:y="72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2,514,805.50</w:t>
      </w:r>
    </w:p>
    <w:p>
      <w:pPr>
        <w:framePr w:w="1507" w:x="9360" w:y="72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6741" w:y="7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250,000,000.00</w:t>
      </w:r>
    </w:p>
    <w:p>
      <w:pPr>
        <w:framePr w:w="1718" w:x="6741" w:y="7875"/>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70,972,677.10</w:t>
      </w:r>
    </w:p>
    <w:p>
      <w:pPr>
        <w:framePr w:w="1718" w:x="6741" w:y="787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20,430,760.07</w:t>
      </w:r>
    </w:p>
    <w:p>
      <w:pPr>
        <w:framePr w:w="1718" w:x="9148" w:y="78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130,000,000.00</w:t>
      </w:r>
    </w:p>
    <w:p>
      <w:pPr>
        <w:framePr w:w="1718" w:x="9148" w:y="7875"/>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38,659,641.44</w:t>
      </w:r>
    </w:p>
    <w:p>
      <w:pPr>
        <w:framePr w:w="1718" w:x="9148" w:y="787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085" w:x="2009" w:y="8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8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085" w:x="2009" w:y="8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507" w:x="2009" w:y="9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1507" w:x="2009" w:y="9025"/>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613" w:x="6846" w:y="9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12,020,971.79</w:t>
      </w:r>
    </w:p>
    <w:p>
      <w:pPr>
        <w:framePr w:w="1613" w:x="6846" w:y="9025"/>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1,757,749.47</w:t>
      </w:r>
    </w:p>
    <w:p>
      <w:pPr>
        <w:framePr w:w="1613" w:x="6846" w:y="902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1,496,635.00</w:t>
      </w:r>
    </w:p>
    <w:p>
      <w:pPr>
        <w:framePr w:w="1613" w:x="9254" w:y="90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12,887,462.16</w:t>
      </w:r>
    </w:p>
    <w:p>
      <w:pPr>
        <w:framePr w:w="1613" w:x="9254" w:y="9025"/>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1,698,987.96</w:t>
      </w:r>
    </w:p>
    <w:p>
      <w:pPr>
        <w:framePr w:w="1613" w:x="9254" w:y="902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3,510,724.59</w:t>
      </w:r>
    </w:p>
    <w:p>
      <w:pPr>
        <w:framePr w:w="1718" w:x="2009" w:y="9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959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9598"/>
        <w:widowControl w:val="0"/>
        <w:autoSpaceDE w:val="0"/>
        <w:autoSpaceDN w:val="0"/>
        <w:spacing w:before="74"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2765" w:x="1798" w:y="10460"/>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10460"/>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10460"/>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10460"/>
        <w:widowControl w:val="0"/>
        <w:autoSpaceDE w:val="0"/>
        <w:autoSpaceDN w:val="0"/>
        <w:spacing w:before="74"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10460"/>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10460"/>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718" w:x="6741" w:y="10748"/>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w:t>
      </w:r>
    </w:p>
    <w:p>
      <w:pPr>
        <w:framePr w:w="1718" w:x="6741" w:y="10748"/>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363,193,598.93</w:t>
      </w:r>
    </w:p>
    <w:p>
      <w:pPr>
        <w:framePr w:w="1718" w:x="6741" w:y="10748"/>
        <w:widowControl w:val="0"/>
        <w:autoSpaceDE w:val="0"/>
        <w:autoSpaceDN w:val="0"/>
        <w:spacing w:before="365"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16,000,000.00</w:t>
      </w:r>
    </w:p>
    <w:p>
      <w:pPr>
        <w:framePr w:w="1718" w:x="9148" w:y="113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225,866,977.94</w:t>
      </w:r>
    </w:p>
    <w:p>
      <w:pPr>
        <w:framePr w:w="1085" w:x="2009" w:y="121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124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12472"/>
        <w:widowControl w:val="0"/>
        <w:autoSpaceDE w:val="0"/>
        <w:autoSpaceDN w:val="0"/>
        <w:spacing w:before="77"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13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930" w:x="2009" w:y="133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1333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1333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296" w:x="7161" w:y="13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592,339.65</w:t>
      </w:r>
    </w:p>
    <w:p>
      <w:pPr>
        <w:framePr w:w="1296" w:x="7161" w:y="139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219,937.30</w:t>
      </w:r>
    </w:p>
    <w:p>
      <w:pPr>
        <w:framePr w:w="1296" w:x="7161" w:y="13909"/>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52,450.54</w:t>
      </w:r>
    </w:p>
    <w:p>
      <w:pPr>
        <w:framePr w:w="1296" w:x="9568" w:y="13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511,059.01</w:t>
      </w:r>
    </w:p>
    <w:p>
      <w:pPr>
        <w:framePr w:w="1296" w:x="9568" w:y="1390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569,030.11</w:t>
      </w:r>
    </w:p>
    <w:p>
      <w:pPr>
        <w:framePr w:w="1296" w:x="9568" w:y="13909"/>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085" w:x="2009" w:y="14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923" w:x="2009" w:y="14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1448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14483"/>
        <w:widowControl w:val="0"/>
        <w:autoSpaceDE w:val="0"/>
        <w:autoSpaceDN w:val="0"/>
        <w:spacing w:before="77"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613" w:x="6846"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16,864,727.49</w:t>
      </w:r>
    </w:p>
    <w:p>
      <w:pPr>
        <w:framePr w:w="1507" w:x="9360"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1,167,724.94</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5" type="#_x0000_t75" style="width:445.6pt;height:2.7pt;margin-top:53.3pt;margin-left:87.45pt;mso-position-horizontal-relative:page;mso-position-vertical-relative:page;position:absolute;z-index:-251484160">
            <v:imagedata r:id="rId59" o:title=""/>
          </v:shape>
        </w:pict>
      </w:r>
      <w:r>
        <w:rPr>
          <w:noProof/>
        </w:rPr>
        <w:pict>
          <v:shape id="_x0000_s1096" type="#_x0000_t75" style="width:454.7pt;height:692.6pt;margin-top:74.3pt;margin-left:83.15pt;mso-position-horizontal-relative:page;mso-position-vertical-relative:page;position:absolute;z-index:-251623424">
            <v:imagedata r:id="rId60" o:title=""/>
          </v:shape>
        </w:pict>
      </w:r>
    </w:p>
    <w:p>
      <w:pPr>
        <w:spacing w:line="0" w:lineRule="atLeast"/>
        <w:rPr>
          <w:rFonts w:ascii="Arial" w:eastAsiaTheme="minorEastAsia" w:hAnsiTheme="minorHAnsi" w:cstheme="minorBidi"/>
          <w:color w:val="FF0000"/>
          <w:sz w:val="2"/>
          <w:szCs w:val="22"/>
          <w:lang w:val="en-US" w:eastAsia="en-US" w:bidi="ar-SA"/>
        </w:rPr>
      </w:pPr>
      <w:bookmarkStart w:id="35" w:name="br1_34"/>
      <w:bookmarkEnd w:id="35"/>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986" w:x="1798" w:y="1553"/>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2986" w:x="1798"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155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155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155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1553"/>
        <w:widowControl w:val="0"/>
        <w:autoSpaceDE w:val="0"/>
        <w:autoSpaceDN w:val="0"/>
        <w:spacing w:before="74"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718" w:x="6741"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380,058,326.42</w:t>
      </w:r>
    </w:p>
    <w:p>
      <w:pPr>
        <w:framePr w:w="1718" w:x="9148"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227,034,702.88</w:t>
      </w:r>
    </w:p>
    <w:p>
      <w:pPr>
        <w:framePr w:w="1718" w:x="9148" w:y="1553"/>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6741" w:y="21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156,800,000.00</w:t>
      </w:r>
    </w:p>
    <w:p>
      <w:pPr>
        <w:framePr w:w="1085" w:x="2009" w:y="3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718" w:x="6741" w:y="32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403,715,471.88</w:t>
      </w:r>
    </w:p>
    <w:p>
      <w:pPr>
        <w:framePr w:w="1718" w:x="9148" w:y="32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448,515,471.88</w:t>
      </w:r>
    </w:p>
    <w:p>
      <w:pPr>
        <w:framePr w:w="1296" w:x="2009" w:y="3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3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384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613" w:x="6846"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33,070,694.70</w:t>
      </w:r>
    </w:p>
    <w:p>
      <w:pPr>
        <w:framePr w:w="1613" w:x="6846" w:y="41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613" w:x="9254" w:y="41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31,262,063.52</w:t>
      </w:r>
    </w:p>
    <w:p>
      <w:pPr>
        <w:framePr w:w="1613" w:x="9254" w:y="4137"/>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085" w:x="2009" w:y="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296" w:x="2009" w:y="4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1930" w:x="6532" w:y="4713"/>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708,545,002.03</w:t>
      </w:r>
    </w:p>
    <w:p>
      <w:pPr>
        <w:framePr w:w="1930" w:x="6532" w:y="471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1,358,131,168.61</w:t>
      </w:r>
    </w:p>
    <w:p>
      <w:pPr>
        <w:framePr w:w="1930" w:x="8939" w:y="4713"/>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702,310,101.88</w:t>
      </w:r>
    </w:p>
    <w:p>
      <w:pPr>
        <w:framePr w:w="1930" w:x="8939" w:y="471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1,350,087,637.28</w:t>
      </w:r>
    </w:p>
    <w:p>
      <w:pPr>
        <w:framePr w:w="2763" w:x="1798" w:y="499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w:t>
      </w:r>
    </w:p>
    <w:p>
      <w:pPr>
        <w:framePr w:w="2763" w:x="1798" w:y="4999"/>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益）合计</w:t>
      </w:r>
    </w:p>
    <w:p>
      <w:pPr>
        <w:framePr w:w="2972" w:x="1798" w:y="5561"/>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负债和所有者权益（或</w:t>
      </w:r>
    </w:p>
    <w:p>
      <w:pPr>
        <w:framePr w:w="2972" w:x="1798" w:y="556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股东权益）总计</w:t>
      </w:r>
    </w:p>
    <w:p>
      <w:pPr>
        <w:framePr w:w="1930" w:x="6532" w:y="55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1,738,189,495.03</w:t>
      </w:r>
    </w:p>
    <w:p>
      <w:pPr>
        <w:framePr w:w="1930" w:x="8939" w:y="55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p>
    <w:p>
      <w:pPr>
        <w:framePr w:w="2141" w:x="1798"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635"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310"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296" w:x="5687" w:y="75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合并利润表</w:t>
      </w:r>
    </w:p>
    <w:p>
      <w:pPr>
        <w:framePr w:w="1661" w:x="5504" w:y="78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p>
    <w:p>
      <w:pPr>
        <w:framePr w:w="2343" w:x="8531" w:y="81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503" w:x="1798" w:y="8429"/>
        <w:widowControl w:val="0"/>
        <w:autoSpaceDE w:val="0"/>
        <w:autoSpaceDN w:val="0"/>
        <w:spacing w:line="211" w:lineRule="exact"/>
        <w:ind w:left="184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503" w:x="1798" w:y="84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一、营业总收入</w:t>
      </w:r>
    </w:p>
    <w:p>
      <w:pPr>
        <w:framePr w:w="2503" w:x="1798" w:y="84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其中：营业收入</w:t>
      </w:r>
    </w:p>
    <w:p>
      <w:pPr>
        <w:framePr w:w="2503" w:x="1798" w:y="8429"/>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662" w:x="6265" w:y="8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560" w:x="7233" w:y="8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年半年度</w:t>
      </w:r>
    </w:p>
    <w:p>
      <w:pPr>
        <w:framePr w:w="3567" w:x="7307" w:y="8429"/>
        <w:widowControl w:val="0"/>
        <w:autoSpaceDE w:val="0"/>
        <w:autoSpaceDN w:val="0"/>
        <w:spacing w:line="211" w:lineRule="exact"/>
        <w:ind w:left="184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年半年度</w:t>
      </w:r>
    </w:p>
    <w:p>
      <w:pPr>
        <w:framePr w:w="3567" w:x="7307" w:y="842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965,510,072.01</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857,775,015.42</w:t>
      </w:r>
    </w:p>
    <w:p>
      <w:pPr>
        <w:framePr w:w="3567" w:x="7307" w:y="84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965,510,072.01</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857,775,015.42</w:t>
      </w:r>
    </w:p>
    <w:p>
      <w:pPr>
        <w:framePr w:w="874" w:x="6159" w:y="89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61</w:t>
      </w:r>
    </w:p>
    <w:p>
      <w:pPr>
        <w:framePr w:w="1085" w:x="2429" w:y="95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已赚保费</w:t>
      </w:r>
    </w:p>
    <w:p>
      <w:pPr>
        <w:framePr w:w="2554" w:x="1798" w:y="9841"/>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手续费及佣金收入</w:t>
      </w:r>
    </w:p>
    <w:p>
      <w:pPr>
        <w:framePr w:w="2554" w:x="1798" w:y="98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二、营业总成本</w:t>
      </w:r>
    </w:p>
    <w:p>
      <w:pPr>
        <w:framePr w:w="2554" w:x="1798" w:y="984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其中：营业成本</w:t>
      </w:r>
    </w:p>
    <w:p>
      <w:pPr>
        <w:framePr w:w="2554" w:x="1798" w:y="9841"/>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利息支出</w:t>
      </w:r>
    </w:p>
    <w:p>
      <w:pPr>
        <w:framePr w:w="3567" w:x="7307" w:y="101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825,164,649.21</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699,568,767.39</w:t>
      </w:r>
    </w:p>
    <w:p>
      <w:pPr>
        <w:framePr w:w="3567" w:x="7307" w:y="1012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661,111,013.11</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561,986,208.54</w:t>
      </w:r>
    </w:p>
    <w:p>
      <w:pPr>
        <w:framePr w:w="874" w:x="6159" w:y="104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61</w:t>
      </w:r>
    </w:p>
    <w:p>
      <w:pPr>
        <w:framePr w:w="1930" w:x="2429" w:y="109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手续费及佣金支出</w:t>
      </w:r>
    </w:p>
    <w:p>
      <w:pPr>
        <w:framePr w:w="1930" w:x="2429" w:y="1097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退保金</w:t>
      </w:r>
    </w:p>
    <w:p>
      <w:pPr>
        <w:framePr w:w="2563" w:x="2429" w:y="1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赔付支出净额</w:t>
      </w:r>
    </w:p>
    <w:p>
      <w:pPr>
        <w:framePr w:w="2563" w:x="2429" w:y="1153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提取保险责任准备金净额</w:t>
      </w:r>
    </w:p>
    <w:p>
      <w:pPr>
        <w:framePr w:w="2563" w:x="2429" w:y="11535"/>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保单红利支出</w:t>
      </w:r>
    </w:p>
    <w:p>
      <w:pPr>
        <w:framePr w:w="2563" w:x="2429" w:y="1153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分保费用</w:t>
      </w:r>
    </w:p>
    <w:p>
      <w:pPr>
        <w:framePr w:w="1296" w:x="2429" w:y="126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税金及附加</w:t>
      </w:r>
    </w:p>
    <w:p>
      <w:pPr>
        <w:framePr w:w="874" w:x="6159" w:y="126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62</w:t>
      </w:r>
    </w:p>
    <w:p>
      <w:pPr>
        <w:framePr w:w="874" w:x="6159"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63</w:t>
      </w:r>
    </w:p>
    <w:p>
      <w:pPr>
        <w:framePr w:w="874" w:x="6159"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64</w:t>
      </w:r>
    </w:p>
    <w:p>
      <w:pPr>
        <w:framePr w:w="874" w:x="6159" w:y="1266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65</w:t>
      </w:r>
    </w:p>
    <w:p>
      <w:pPr>
        <w:framePr w:w="874" w:x="6159"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66</w:t>
      </w:r>
    </w:p>
    <w:p>
      <w:pPr>
        <w:framePr w:w="1613" w:x="7413" w:y="1266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2,644,611.56</w:t>
      </w:r>
    </w:p>
    <w:p>
      <w:pPr>
        <w:framePr w:w="1613" w:x="7413"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26,400,985.85</w:t>
      </w:r>
    </w:p>
    <w:p>
      <w:pPr>
        <w:framePr w:w="1613" w:x="7413"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88,629,628.79</w:t>
      </w:r>
    </w:p>
    <w:p>
      <w:pPr>
        <w:framePr w:w="1613" w:x="7413" w:y="1266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50,862,648.69</w:t>
      </w:r>
    </w:p>
    <w:p>
      <w:pPr>
        <w:framePr w:w="1613" w:x="7413"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-4,484,238.79</w:t>
      </w:r>
    </w:p>
    <w:p>
      <w:pPr>
        <w:framePr w:w="1613" w:x="7413" w:y="12664"/>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580,362.93</w:t>
      </w:r>
    </w:p>
    <w:p>
      <w:pPr>
        <w:framePr w:w="1613" w:x="9266" w:y="1266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2,833,626.31</w:t>
      </w:r>
    </w:p>
    <w:p>
      <w:pPr>
        <w:framePr w:w="1613" w:x="9266"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22,929,582.25</w:t>
      </w:r>
    </w:p>
    <w:p>
      <w:pPr>
        <w:framePr w:w="1613" w:x="9266"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77,909,908.23</w:t>
      </w:r>
    </w:p>
    <w:p>
      <w:pPr>
        <w:framePr w:w="1613" w:x="9266" w:y="1266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35,928,554.89</w:t>
      </w:r>
    </w:p>
    <w:p>
      <w:pPr>
        <w:framePr w:w="1613" w:x="9266" w:y="126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-2,019,112.83</w:t>
      </w:r>
    </w:p>
    <w:p>
      <w:pPr>
        <w:framePr w:w="1613" w:x="9266" w:y="12664"/>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609,845.84</w:t>
      </w:r>
    </w:p>
    <w:p>
      <w:pPr>
        <w:framePr w:w="1085" w:x="2429" w:y="129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1085" w:x="2429" w:y="1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1085" w:x="2429" w:y="13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1085" w:x="2429" w:y="137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1718" w:x="2429" w:y="1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其中：利息费用</w:t>
      </w:r>
    </w:p>
    <w:p>
      <w:pPr>
        <w:framePr w:w="1718" w:x="2429" w:y="14077"/>
        <w:widowControl w:val="0"/>
        <w:autoSpaceDE w:val="0"/>
        <w:autoSpaceDN w:val="0"/>
        <w:spacing w:before="70"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507" w:x="7518" w:y="143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1,323,775.90</w:t>
      </w:r>
    </w:p>
    <w:p>
      <w:pPr>
        <w:framePr w:w="1507" w:x="7518" w:y="143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1,981,890.32</w:t>
      </w:r>
    </w:p>
    <w:p>
      <w:pPr>
        <w:framePr w:w="1507" w:x="7518" w:y="143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2,540,682.51</w:t>
      </w:r>
    </w:p>
    <w:p>
      <w:pPr>
        <w:framePr w:w="1296" w:x="9580" w:y="143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512,669.13</w:t>
      </w:r>
    </w:p>
    <w:p>
      <w:pPr>
        <w:framePr w:w="1507" w:x="2009" w:y="1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加：其他收益</w:t>
      </w:r>
    </w:p>
    <w:p>
      <w:pPr>
        <w:framePr w:w="874" w:x="6159" w:y="146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67</w:t>
      </w:r>
    </w:p>
    <w:p>
      <w:pPr>
        <w:framePr w:w="1296" w:x="9580" w:y="146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728,226.26</w:t>
      </w:r>
    </w:p>
    <w:p>
      <w:pPr>
        <w:framePr w:w="3408" w:x="2429" w:y="14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投资收益（损失以“－”号填列）</w:t>
      </w:r>
    </w:p>
    <w:p>
      <w:pPr>
        <w:framePr w:w="874" w:x="6159" w:y="14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68</w:t>
      </w:r>
    </w:p>
    <w:p>
      <w:pPr>
        <w:framePr w:w="1402" w:x="9477" w:y="149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-201,282.77</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097" type="#_x0000_t75" style="width:445.6pt;height:2.7pt;margin-top:53.3pt;margin-left:87.45pt;mso-position-horizontal-relative:page;mso-position-vertical-relative:page;position:absolute;z-index:-251395072">
            <v:imagedata r:id="rId64" o:title=""/>
          </v:shape>
        </w:pict>
      </w:r>
      <w:r>
        <w:rPr>
          <w:noProof/>
        </w:rPr>
        <w:pict>
          <v:shape id="_x0000_s1098" type="#_x0000_t75" style="width:454.7pt;height:231.25pt;margin-top:74.3pt;margin-left:83.15pt;mso-position-horizontal-relative:page;mso-position-vertical-relative:page;position:absolute;z-index:-251483136">
            <v:imagedata r:id="rId65" o:title=""/>
          </v:shape>
        </w:pict>
      </w:r>
      <w:r>
        <w:rPr>
          <w:noProof/>
        </w:rPr>
        <w:pict>
          <v:shape id="_x0000_s1099" type="#_x0000_t75" style="width:454.95pt;height:341.3pt;margin-top:418.5pt;margin-left:83.25pt;mso-position-horizontal-relative:page;mso-position-vertical-relative:page;position:absolute;z-index:-251622400">
            <v:imagedata r:id="rId66" o:title=""/>
          </v:shape>
        </w:pict>
      </w:r>
    </w:p>
    <w:p>
      <w:pPr>
        <w:spacing w:line="0" w:lineRule="atLeast"/>
        <w:rPr>
          <w:rFonts w:ascii="Arial" w:eastAsiaTheme="minorEastAsia" w:hAnsiTheme="minorHAnsi" w:cstheme="minorBidi"/>
          <w:color w:val="FF0000"/>
          <w:sz w:val="2"/>
          <w:szCs w:val="22"/>
          <w:lang w:val="en-US" w:eastAsia="en-US" w:bidi="ar-SA"/>
        </w:rPr>
      </w:pPr>
      <w:bookmarkStart w:id="36" w:name="br1_35"/>
      <w:bookmarkEnd w:id="36"/>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830" w:x="242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其中：对联营企业和合营企业的投资收</w:t>
      </w:r>
    </w:p>
    <w:p>
      <w:pPr>
        <w:framePr w:w="3830" w:x="2429" w:y="1547"/>
        <w:widowControl w:val="0"/>
        <w:autoSpaceDE w:val="0"/>
        <w:autoSpaceDN w:val="0"/>
        <w:spacing w:before="344" w:line="211" w:lineRule="exact"/>
        <w:ind w:left="52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以摊余成本计量的金融资产终止</w:t>
      </w:r>
    </w:p>
    <w:p>
      <w:pPr>
        <w:framePr w:w="451" w:x="1798"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w:t>
      </w:r>
    </w:p>
    <w:p>
      <w:pPr>
        <w:framePr w:w="3302" w:x="1798" w:y="2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确认收益（损失以“</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3408" w:x="2429" w:y="26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汇兑收益（损失以“－”号填列）</w:t>
      </w:r>
    </w:p>
    <w:p>
      <w:pPr>
        <w:framePr w:w="5235" w:x="1798" w:y="2937"/>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净敞口套期收益（损失以“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5235" w:x="1798" w:y="2937"/>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公允价值变动收益（损失以“－”号填</w:t>
      </w:r>
      <w:r>
        <w:rPr>
          <w:rFonts w:eastAsiaTheme="minorEastAsia" w:hAnsiTheme="minorHAnsi" w:cstheme="minorBidi"/>
          <w:color w:val="000000"/>
          <w:spacing w:val="1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70</w:t>
      </w:r>
    </w:p>
    <w:p>
      <w:pPr>
        <w:framePr w:w="5235" w:x="1798" w:y="293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1613" w:x="7413" w:y="32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-1,976,047.50</w:t>
      </w:r>
    </w:p>
    <w:p>
      <w:pPr>
        <w:framePr w:w="5235" w:x="1798" w:y="3775"/>
        <w:widowControl w:val="0"/>
        <w:autoSpaceDE w:val="0"/>
        <w:autoSpaceDN w:val="0"/>
        <w:spacing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”号填列）</w:t>
      </w:r>
      <w:r>
        <w:rPr>
          <w:rFonts w:eastAsiaTheme="minorEastAsia" w:hAnsiTheme="minorHAnsi" w:cstheme="minorBidi"/>
          <w:color w:val="000000"/>
          <w:spacing w:val="21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71</w:t>
      </w:r>
    </w:p>
    <w:p>
      <w:pPr>
        <w:framePr w:w="5235" w:x="1798" w:y="3775"/>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”号填列）</w:t>
      </w:r>
      <w:r>
        <w:rPr>
          <w:rFonts w:eastAsiaTheme="minorEastAsia" w:hAnsiTheme="minorHAnsi" w:cstheme="minorBidi"/>
          <w:color w:val="000000"/>
          <w:spacing w:val="21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72</w:t>
      </w:r>
    </w:p>
    <w:p>
      <w:pPr>
        <w:framePr w:w="5235" w:x="1798" w:y="3775"/>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资产处置收益（损失以“－”号填列）</w:t>
      </w:r>
      <w:r>
        <w:rPr>
          <w:rFonts w:eastAsiaTheme="minorEastAsia" w:hAnsiTheme="minorHAnsi" w:cstheme="minorBidi"/>
          <w:color w:val="000000"/>
          <w:spacing w:val="10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73</w:t>
      </w:r>
    </w:p>
    <w:p>
      <w:pPr>
        <w:framePr w:w="5235" w:x="1798" w:y="377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三、营业利润（亏损以“－”号填列）</w:t>
      </w:r>
    </w:p>
    <w:p>
      <w:pPr>
        <w:framePr w:w="1613" w:x="7413" w:y="37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-4,956,792.91</w:t>
      </w:r>
    </w:p>
    <w:p>
      <w:pPr>
        <w:framePr w:w="1613" w:x="7413" w:y="3775"/>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512,887.17</w:t>
      </w:r>
    </w:p>
    <w:p>
      <w:pPr>
        <w:framePr w:w="1613" w:x="7413" w:y="3775"/>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122,366.47</w:t>
      </w:r>
    </w:p>
    <w:p>
      <w:pPr>
        <w:framePr w:w="1402" w:x="9477" w:y="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-939,460.75</w:t>
      </w:r>
    </w:p>
    <w:p>
      <w:pPr>
        <w:framePr w:w="3567" w:x="7307" w:y="46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138,570,408.86</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157,793,730.77</w:t>
      </w:r>
    </w:p>
    <w:p>
      <w:pPr>
        <w:framePr w:w="1718" w:x="2009" w:y="49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加：营业外收入</w:t>
      </w:r>
    </w:p>
    <w:p>
      <w:pPr>
        <w:framePr w:w="874" w:x="6159" w:y="49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74</w:t>
      </w:r>
    </w:p>
    <w:p>
      <w:pPr>
        <w:framePr w:w="874" w:x="6159" w:y="490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75</w:t>
      </w:r>
    </w:p>
    <w:p>
      <w:pPr>
        <w:framePr w:w="1190" w:x="7833" w:y="49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69,573.24</w:t>
      </w:r>
    </w:p>
    <w:p>
      <w:pPr>
        <w:framePr w:w="1190" w:x="9686" w:y="49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90,040.20</w:t>
      </w:r>
    </w:p>
    <w:p>
      <w:pPr>
        <w:framePr w:w="1718" w:x="2009" w:y="51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减：营业外支出</w:t>
      </w:r>
    </w:p>
    <w:p>
      <w:pPr>
        <w:framePr w:w="1613" w:x="7413" w:y="51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15,945,964.52</w:t>
      </w:r>
    </w:p>
    <w:p>
      <w:pPr>
        <w:framePr w:w="1296" w:x="9580" w:y="51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678,011.25</w:t>
      </w:r>
    </w:p>
    <w:p>
      <w:pPr>
        <w:framePr w:w="4253" w:x="1798" w:y="54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四、利润总额（亏损总额以“－”号填列）</w:t>
      </w:r>
    </w:p>
    <w:p>
      <w:pPr>
        <w:framePr w:w="4253" w:x="1798" w:y="5470"/>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减：所得税费用</w:t>
      </w:r>
    </w:p>
    <w:p>
      <w:pPr>
        <w:framePr w:w="3567" w:x="7307" w:y="54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122,694,017.58</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157,205,759.72</w:t>
      </w:r>
    </w:p>
    <w:p>
      <w:pPr>
        <w:framePr w:w="3567" w:x="7307" w:y="5470"/>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26,838,927.11</w:t>
      </w:r>
      <w:r>
        <w:rPr>
          <w:rFonts w:ascii="SimSun" w:eastAsiaTheme="minorEastAsia" w:hAnsiTheme="minorHAnsi" w:cstheme="minorBidi"/>
          <w:color w:val="000000"/>
          <w:spacing w:val="38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30,100,415.89</w:t>
      </w:r>
    </w:p>
    <w:p>
      <w:pPr>
        <w:framePr w:w="874" w:x="6159" w:y="57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w:t>
      </w:r>
      <w:r>
        <w:rPr>
          <w:rFonts w:ascii="SimSun" w:eastAsiaTheme="minorEastAsia" w:hAnsiTheme="minorHAnsi" w:cstheme="minorBidi"/>
          <w:color w:val="000000"/>
          <w:spacing w:val="1"/>
          <w:sz w:val="21"/>
          <w:szCs w:val="22"/>
          <w:lang w:val="en-US" w:eastAsia="en-US" w:bidi="ar-SA"/>
        </w:rPr>
        <w:t>76</w:t>
      </w:r>
    </w:p>
    <w:p>
      <w:pPr>
        <w:framePr w:w="3830" w:x="1798" w:y="6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五、净利润（净亏损以“－”号填列）</w:t>
      </w:r>
    </w:p>
    <w:p>
      <w:pPr>
        <w:framePr w:w="3830" w:x="1798" w:y="60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（一）按经营持续性分类</w:t>
      </w:r>
    </w:p>
    <w:p>
      <w:pPr>
        <w:framePr w:w="3462" w:x="7413" w:y="6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127,105,343.83</w:t>
      </w:r>
    </w:p>
    <w:p>
      <w:pPr>
        <w:framePr w:w="4390" w:x="1798" w:y="660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持续经营净利润（净亏损以“－”号填</w:t>
      </w:r>
    </w:p>
    <w:p>
      <w:pPr>
        <w:framePr w:w="4390" w:x="1798" w:y="660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3462" w:x="7413" w:y="66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127,105,343.83</w:t>
      </w:r>
    </w:p>
    <w:p>
      <w:pPr>
        <w:framePr w:w="4390" w:x="1798" w:y="71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3"/>
          <w:sz w:val="21"/>
          <w:szCs w:val="22"/>
          <w:lang w:val="en-US" w:eastAsia="en-US" w:bidi="ar-SA"/>
        </w:rPr>
        <w:t>终止经营净利润（净亏损以“－”号填</w:t>
      </w:r>
    </w:p>
    <w:p>
      <w:pPr>
        <w:framePr w:w="4390" w:x="1798" w:y="715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2563" w:x="1798" w:y="7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（二）按所有权归属分类</w:t>
      </w:r>
    </w:p>
    <w:p>
      <w:pPr>
        <w:framePr w:w="4390" w:x="1798" w:y="79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3"/>
          <w:sz w:val="21"/>
          <w:szCs w:val="22"/>
          <w:lang w:val="en-US" w:eastAsia="en-US" w:bidi="ar-SA"/>
        </w:rPr>
        <w:t>归属于母公司股东的净利润（净亏损以</w:t>
      </w:r>
    </w:p>
    <w:p>
      <w:pPr>
        <w:framePr w:w="4390" w:x="1798" w:y="799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3462" w:x="7413" w:y="79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127,105,343.83</w:t>
      </w:r>
    </w:p>
    <w:p>
      <w:pPr>
        <w:framePr w:w="4493" w:x="1798" w:y="854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5"/>
          <w:sz w:val="21"/>
          <w:szCs w:val="22"/>
          <w:lang w:val="en-US" w:eastAsia="en-US" w:bidi="ar-SA"/>
        </w:rPr>
        <w:t>少数股东损益（净亏损以“</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4493" w:x="1798" w:y="8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六、其他综合收益的税后净额</w:t>
      </w:r>
    </w:p>
    <w:p>
      <w:pPr>
        <w:framePr w:w="4493" w:x="1798" w:y="8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（一）归属母公司所有者的其他综合收益的</w:t>
      </w:r>
    </w:p>
    <w:p>
      <w:pPr>
        <w:framePr w:w="4493" w:x="1798" w:y="8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税后净额</w:t>
      </w:r>
    </w:p>
    <w:p>
      <w:pPr>
        <w:framePr w:w="4358" w:x="1798" w:y="96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不能重分类进损益的其他综合收益</w:t>
      </w:r>
    </w:p>
    <w:p>
      <w:pPr>
        <w:framePr w:w="4358" w:x="1798" w:y="96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）重新计量设定受益计划变动额</w:t>
      </w:r>
    </w:p>
    <w:p>
      <w:pPr>
        <w:framePr w:w="4358" w:x="1798" w:y="966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）权益法下不能转损益的其他综合收益</w:t>
      </w:r>
    </w:p>
    <w:p>
      <w:pPr>
        <w:framePr w:w="4358" w:x="1798" w:y="96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）其他权益工具投资公允价值变动</w:t>
      </w:r>
    </w:p>
    <w:p>
      <w:pPr>
        <w:framePr w:w="4358" w:x="1798" w:y="96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）企业自身信用风险公允价值变动</w:t>
      </w:r>
    </w:p>
    <w:p>
      <w:pPr>
        <w:framePr w:w="4358" w:x="1798" w:y="9665"/>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将重分类进损益的其他综合收益</w:t>
      </w:r>
    </w:p>
    <w:p>
      <w:pPr>
        <w:framePr w:w="4358" w:x="1798" w:y="96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）权益法下可转损益的其他综合收益</w:t>
      </w:r>
    </w:p>
    <w:p>
      <w:pPr>
        <w:framePr w:w="4358" w:x="1798" w:y="966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）其他债权投资公允价值变动</w:t>
      </w:r>
    </w:p>
    <w:p>
      <w:pPr>
        <w:framePr w:w="4358" w:x="1798" w:y="966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）金融资产重分类计入其他综合收益的金</w:t>
      </w:r>
    </w:p>
    <w:p>
      <w:pPr>
        <w:framePr w:w="4358" w:x="1798" w:y="9665"/>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3302" w:x="1798" w:y="124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）其他债权投资信用减值准备</w:t>
      </w:r>
    </w:p>
    <w:p>
      <w:pPr>
        <w:framePr w:w="3302" w:x="1798" w:y="1247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）现金流量套期储备</w:t>
      </w:r>
    </w:p>
    <w:p>
      <w:pPr>
        <w:framePr w:w="2880" w:x="1798" w:y="130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）外币财务报表折算差额</w:t>
      </w:r>
    </w:p>
    <w:p>
      <w:pPr>
        <w:framePr w:w="2880" w:x="1798" w:y="1304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）其他</w:t>
      </w:r>
    </w:p>
    <w:p>
      <w:pPr>
        <w:framePr w:w="4390" w:x="1798" w:y="13609"/>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（二）归属于少数股东的其他综合收益的税</w:t>
      </w:r>
    </w:p>
    <w:p>
      <w:pPr>
        <w:framePr w:w="4390" w:x="1798" w:y="1360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后净额</w:t>
      </w:r>
    </w:p>
    <w:p>
      <w:pPr>
        <w:framePr w:w="1930" w:x="1798" w:y="141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七、综合收益总额</w:t>
      </w:r>
    </w:p>
    <w:p>
      <w:pPr>
        <w:framePr w:w="3462" w:x="7413" w:y="141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127,105,343.83</w:t>
      </w:r>
    </w:p>
    <w:p>
      <w:pPr>
        <w:framePr w:w="3462" w:x="7413" w:y="141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r>
        <w:rPr>
          <w:rFonts w:ascii="SimSun" w:eastAsiaTheme="minorEastAsia" w:hAnsiTheme="minorHAnsi" w:cstheme="minorBidi"/>
          <w:color w:val="000000"/>
          <w:spacing w:val="2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127,105,343.83</w:t>
      </w:r>
    </w:p>
    <w:p>
      <w:pPr>
        <w:framePr w:w="4388" w:x="1798" w:y="1444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（一）归属于母公司所有者的综合收益总额</w:t>
      </w:r>
    </w:p>
    <w:p>
      <w:pPr>
        <w:framePr w:w="4388" w:x="1798" w:y="14447"/>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（二）归属于少数股东的综合收益总额</w:t>
      </w:r>
    </w:p>
    <w:p>
      <w:pPr>
        <w:framePr w:w="4388" w:x="1798" w:y="144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八、每股收益：</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0" type="#_x0000_t75" style="width:445.6pt;height:2.7pt;margin-top:53.3pt;margin-left:87.45pt;mso-position-horizontal-relative:page;mso-position-vertical-relative:page;position:absolute;z-index:-251482112">
            <v:imagedata r:id="rId67" o:title=""/>
          </v:shape>
        </w:pict>
      </w:r>
      <w:r>
        <w:rPr>
          <w:noProof/>
        </w:rPr>
        <w:pict>
          <v:shape id="_x0000_s1101" type="#_x0000_t75" style="width:454.95pt;height:689.95pt;margin-top:74.3pt;margin-left:83.25pt;mso-position-horizontal-relative:page;mso-position-vertical-relative:page;position:absolute;z-index:-251621376">
            <v:imagedata r:id="rId68" o:title=""/>
          </v:shape>
        </w:pict>
      </w:r>
    </w:p>
    <w:p>
      <w:pPr>
        <w:spacing w:line="0" w:lineRule="atLeast"/>
        <w:rPr>
          <w:rFonts w:ascii="Arial" w:eastAsiaTheme="minorEastAsia" w:hAnsiTheme="minorHAnsi" w:cstheme="minorBidi"/>
          <w:color w:val="FF0000"/>
          <w:sz w:val="2"/>
          <w:szCs w:val="22"/>
          <w:lang w:val="en-US" w:eastAsia="en-US" w:bidi="ar-SA"/>
        </w:rPr>
      </w:pPr>
      <w:bookmarkStart w:id="37" w:name="br1_36"/>
      <w:bookmarkEnd w:id="37"/>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880" w:x="200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（一）基本每股收益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2880" w:x="2009"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（二）稀释每股收益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662" w:x="835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0.61</w:t>
      </w:r>
    </w:p>
    <w:p>
      <w:pPr>
        <w:framePr w:w="662" w:x="8358"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0.61</w:t>
      </w:r>
    </w:p>
    <w:p>
      <w:pPr>
        <w:framePr w:w="662" w:x="1021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0.81</w:t>
      </w:r>
    </w:p>
    <w:p>
      <w:pPr>
        <w:framePr w:w="662" w:x="10212"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0.81</w:t>
      </w:r>
    </w:p>
    <w:p>
      <w:pPr>
        <w:framePr w:w="9079" w:x="1798"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本期发生同一控制下企业合并的，被合并方在合并前实现的净利润为：</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上期被合并方实</w:t>
      </w:r>
    </w:p>
    <w:p>
      <w:pPr>
        <w:framePr w:w="9079" w:x="1798" w:y="238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现的净利润为：</w:t>
      </w:r>
      <w:r>
        <w:rPr>
          <w:rFonts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2141" w:x="1798" w:y="2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635" w:y="2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8207" w:y="29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507" w:x="5581" w:y="3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母公司利润表</w:t>
      </w:r>
    </w:p>
    <w:p>
      <w:pPr>
        <w:framePr w:w="1661" w:x="5504" w:y="4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p>
    <w:p>
      <w:pPr>
        <w:framePr w:w="2343" w:x="8531" w:y="44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4411"/>
        <w:widowControl w:val="0"/>
        <w:autoSpaceDE w:val="0"/>
        <w:autoSpaceDN w:val="0"/>
        <w:spacing w:before="70" w:line="211" w:lineRule="exact"/>
        <w:ind w:left="541"/>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年半年度</w:t>
      </w:r>
    </w:p>
    <w:p>
      <w:pPr>
        <w:framePr w:w="662" w:x="3497" w:y="46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6027" w:y="46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800" w:x="7057" w:y="46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1"/>
          <w:sz w:val="21"/>
          <w:szCs w:val="22"/>
          <w:lang w:val="en-US" w:eastAsia="en-US" w:bidi="ar-SA"/>
        </w:rPr>
        <w:t>年半年度</w:t>
      </w:r>
    </w:p>
    <w:p>
      <w:pPr>
        <w:framePr w:w="1800" w:x="7057" w:y="4692"/>
        <w:widowControl w:val="0"/>
        <w:autoSpaceDE w:val="0"/>
        <w:autoSpaceDN w:val="0"/>
        <w:spacing w:before="72" w:line="211" w:lineRule="exact"/>
        <w:ind w:left="8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647,326,703.27</w:t>
      </w:r>
    </w:p>
    <w:p>
      <w:pPr>
        <w:framePr w:w="1944" w:x="1779" w:y="4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一、营业收入</w:t>
      </w:r>
    </w:p>
    <w:p>
      <w:pPr>
        <w:framePr w:w="1944" w:x="1779" w:y="4975"/>
        <w:widowControl w:val="0"/>
        <w:autoSpaceDE w:val="0"/>
        <w:autoSpaceDN w:val="0"/>
        <w:spacing w:before="73" w:line="211" w:lineRule="exact"/>
        <w:ind w:left="23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减：营业成本</w:t>
      </w:r>
    </w:p>
    <w:p>
      <w:pPr>
        <w:framePr w:w="1944" w:x="1779" w:y="4975"/>
        <w:widowControl w:val="0"/>
        <w:autoSpaceDE w:val="0"/>
        <w:autoSpaceDN w:val="0"/>
        <w:spacing w:before="70" w:line="211" w:lineRule="exact"/>
        <w:ind w:left="65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税金及附加</w:t>
      </w:r>
    </w:p>
    <w:p>
      <w:pPr>
        <w:framePr w:w="1944" w:x="1779" w:y="4975"/>
        <w:widowControl w:val="0"/>
        <w:autoSpaceDE w:val="0"/>
        <w:autoSpaceDN w:val="0"/>
        <w:spacing w:before="72" w:line="211" w:lineRule="exact"/>
        <w:ind w:left="65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销售费用</w:t>
      </w:r>
    </w:p>
    <w:p>
      <w:pPr>
        <w:framePr w:w="1718" w:x="9160" w:y="49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694,632,924.44</w:t>
      </w:r>
    </w:p>
    <w:p>
      <w:pPr>
        <w:framePr w:w="1718" w:x="9160" w:y="4975"/>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513,221,992.13</w:t>
      </w:r>
    </w:p>
    <w:p>
      <w:pPr>
        <w:framePr w:w="1718" w:x="9160" w:y="4975"/>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440,787.61</w:t>
      </w:r>
    </w:p>
    <w:p>
      <w:pPr>
        <w:framePr w:w="1718" w:x="7144" w:y="52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550,046,513.58</w:t>
      </w:r>
    </w:p>
    <w:p>
      <w:pPr>
        <w:framePr w:w="1718" w:x="7144" w:y="5259"/>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386,398.94</w:t>
      </w:r>
    </w:p>
    <w:p>
      <w:pPr>
        <w:framePr w:w="1613" w:x="7249" w:y="58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10,695,028.63</w:t>
      </w:r>
    </w:p>
    <w:p>
      <w:pPr>
        <w:framePr w:w="1613" w:x="7249" w:y="582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17,608,797.76</w:t>
      </w:r>
    </w:p>
    <w:p>
      <w:pPr>
        <w:framePr w:w="1613" w:x="7249" w:y="582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22,154,084.07</w:t>
      </w:r>
    </w:p>
    <w:p>
      <w:pPr>
        <w:framePr w:w="1613" w:x="7249" w:y="582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-3,282,089.42</w:t>
      </w:r>
    </w:p>
    <w:p>
      <w:pPr>
        <w:framePr w:w="1613" w:x="7249" w:y="5823"/>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140,710.85</w:t>
      </w:r>
    </w:p>
    <w:p>
      <w:pPr>
        <w:framePr w:w="1613" w:x="9266" w:y="582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6,873,729.43</w:t>
      </w:r>
    </w:p>
    <w:p>
      <w:pPr>
        <w:framePr w:w="1613" w:x="9266" w:y="582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19,776,952.23</w:t>
      </w:r>
    </w:p>
    <w:p>
      <w:pPr>
        <w:framePr w:w="1613" w:x="9266" w:y="582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22,455,870.86</w:t>
      </w:r>
    </w:p>
    <w:p>
      <w:pPr>
        <w:framePr w:w="1613" w:x="9266" w:y="582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2,542,056.50</w:t>
      </w:r>
    </w:p>
    <w:p>
      <w:pPr>
        <w:framePr w:w="1613" w:x="9266" w:y="5823"/>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194,541.67</w:t>
      </w:r>
    </w:p>
    <w:p>
      <w:pPr>
        <w:framePr w:w="1085" w:x="2429" w:y="61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管理费用</w:t>
      </w:r>
    </w:p>
    <w:p>
      <w:pPr>
        <w:framePr w:w="1085" w:x="2429" w:y="63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研发费用</w:t>
      </w:r>
    </w:p>
    <w:p>
      <w:pPr>
        <w:framePr w:w="1085" w:x="2429" w:y="66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w:t>
      </w:r>
    </w:p>
    <w:p>
      <w:pPr>
        <w:framePr w:w="2134" w:x="2009" w:y="69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其中：利息费用</w:t>
      </w:r>
    </w:p>
    <w:p>
      <w:pPr>
        <w:framePr w:w="2134" w:x="2009" w:y="6951"/>
        <w:widowControl w:val="0"/>
        <w:autoSpaceDE w:val="0"/>
        <w:autoSpaceDN w:val="0"/>
        <w:spacing w:before="72" w:line="211" w:lineRule="exact"/>
        <w:ind w:left="104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2134" w:x="2009" w:y="69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加：其他收益</w:t>
      </w:r>
    </w:p>
    <w:p>
      <w:pPr>
        <w:framePr w:w="1296" w:x="7564" w:y="72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717,832.98</w:t>
      </w:r>
    </w:p>
    <w:p>
      <w:pPr>
        <w:framePr w:w="1296" w:x="9580" w:y="72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238,405.11</w:t>
      </w:r>
    </w:p>
    <w:p>
      <w:pPr>
        <w:framePr w:w="1507" w:x="7355" w:y="75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1,729,739.01</w:t>
      </w:r>
    </w:p>
    <w:p>
      <w:pPr>
        <w:framePr w:w="1507" w:x="7355" w:y="751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1,266,799.89</w:t>
      </w:r>
    </w:p>
    <w:p>
      <w:pPr>
        <w:framePr w:w="1296" w:x="9580" w:y="75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707,219.52</w:t>
      </w:r>
    </w:p>
    <w:p>
      <w:pPr>
        <w:framePr w:w="3408" w:x="2429" w:y="77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投资收益（损失以“－”号填列）</w:t>
      </w:r>
    </w:p>
    <w:p>
      <w:pPr>
        <w:framePr w:w="3408" w:x="2429" w:y="77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其中：对联营企业和合营企业的投</w:t>
      </w:r>
    </w:p>
    <w:p>
      <w:pPr>
        <w:framePr w:w="1402" w:x="9477" w:y="779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-649,747.22</w:t>
      </w:r>
    </w:p>
    <w:p>
      <w:pPr>
        <w:framePr w:w="874" w:x="1798" w:y="83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资收益</w:t>
      </w:r>
    </w:p>
    <w:p>
      <w:pPr>
        <w:framePr w:w="2774" w:x="2952" w:y="8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以摊余成本计量的金融资产</w:t>
      </w:r>
    </w:p>
    <w:p>
      <w:pPr>
        <w:framePr w:w="4107" w:x="1798" w:y="89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终止确认收益（损失以“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”号填列）</w:t>
      </w:r>
    </w:p>
    <w:p>
      <w:pPr>
        <w:framePr w:w="4107" w:x="1798" w:y="8909"/>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净敞口套期收益（损失以“</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”号填</w:t>
      </w:r>
    </w:p>
    <w:p>
      <w:pPr>
        <w:framePr w:w="4107" w:x="1798" w:y="890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4025" w:x="1798" w:y="9745"/>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公允价值变动收益（损失以“－”</w:t>
      </w:r>
    </w:p>
    <w:p>
      <w:pPr>
        <w:framePr w:w="4025" w:x="1798" w:y="974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1613" w:x="7249" w:y="97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-1,831,263.50</w:t>
      </w:r>
    </w:p>
    <w:p>
      <w:pPr>
        <w:framePr w:w="4210" w:x="1798" w:y="10302"/>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2"/>
          <w:sz w:val="21"/>
          <w:szCs w:val="22"/>
          <w:lang w:val="en-US" w:eastAsia="en-US" w:bidi="ar-SA"/>
        </w:rPr>
        <w:t>信用减值损失（损失以“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4210" w:x="1798" w:y="10302"/>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2"/>
          <w:sz w:val="21"/>
          <w:szCs w:val="22"/>
          <w:lang w:val="en-US" w:eastAsia="en-US" w:bidi="ar-SA"/>
        </w:rPr>
        <w:t>资产减值损失（损失以“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”号填列）</w:t>
      </w:r>
    </w:p>
    <w:p>
      <w:pPr>
        <w:framePr w:w="4210" w:x="1798" w:y="10302"/>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资产处置收益（损失以“－”号填</w:t>
      </w:r>
    </w:p>
    <w:p>
      <w:pPr>
        <w:framePr w:w="4210" w:x="1798" w:y="1030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列）</w:t>
      </w:r>
    </w:p>
    <w:p>
      <w:pPr>
        <w:framePr w:w="1613" w:x="7249" w:y="103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-3,761,690.86</w:t>
      </w:r>
    </w:p>
    <w:p>
      <w:pPr>
        <w:framePr w:w="1613" w:x="7249" w:y="10302"/>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566,541.24</w:t>
      </w:r>
    </w:p>
    <w:p>
      <w:pPr>
        <w:framePr w:w="1613" w:x="7249" w:y="10302"/>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122,448.04</w:t>
      </w:r>
    </w:p>
    <w:p>
      <w:pPr>
        <w:framePr w:w="1613" w:x="9266" w:y="105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-1,166,017.47</w:t>
      </w:r>
    </w:p>
    <w:p>
      <w:pPr>
        <w:framePr w:w="3830" w:x="1779" w:y="11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二、营业利润（亏损以“－”号填列）</w:t>
      </w:r>
    </w:p>
    <w:p>
      <w:pPr>
        <w:framePr w:w="3830" w:x="1779" w:y="11420"/>
        <w:widowControl w:val="0"/>
        <w:autoSpaceDE w:val="0"/>
        <w:autoSpaceDN w:val="0"/>
        <w:spacing w:before="72" w:line="211" w:lineRule="exact"/>
        <w:ind w:left="23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加：营业外收入</w:t>
      </w:r>
    </w:p>
    <w:p>
      <w:pPr>
        <w:framePr w:w="1613" w:x="7249" w:y="114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47,810,543.53</w:t>
      </w:r>
    </w:p>
    <w:p>
      <w:pPr>
        <w:framePr w:w="1613" w:x="7249" w:y="11420"/>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59,821.98</w:t>
      </w:r>
    </w:p>
    <w:p>
      <w:pPr>
        <w:framePr w:w="1718" w:x="9160" w:y="114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128,212,990.51</w:t>
      </w:r>
    </w:p>
    <w:p>
      <w:pPr>
        <w:framePr w:w="1718" w:x="9160" w:y="11420"/>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69,388.60</w:t>
      </w:r>
    </w:p>
    <w:p>
      <w:pPr>
        <w:framePr w:w="1718" w:x="2009" w:y="11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减：营业外支出</w:t>
      </w:r>
    </w:p>
    <w:p>
      <w:pPr>
        <w:framePr w:w="1613" w:x="7249" w:y="1198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1,397,154.72</w:t>
      </w:r>
    </w:p>
    <w:p>
      <w:pPr>
        <w:framePr w:w="1613" w:x="7249" w:y="11984"/>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46,473,210.79</w:t>
      </w:r>
    </w:p>
    <w:p>
      <w:pPr>
        <w:framePr w:w="1613" w:x="7249" w:y="1198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6,638,310.64</w:t>
      </w:r>
    </w:p>
    <w:p>
      <w:pPr>
        <w:framePr w:w="1613" w:x="7249" w:y="11984"/>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39,834,900.15</w:t>
      </w:r>
    </w:p>
    <w:p>
      <w:pPr>
        <w:framePr w:w="1613" w:x="7249" w:y="1198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39,834,900.15</w:t>
      </w:r>
    </w:p>
    <w:p>
      <w:pPr>
        <w:framePr w:w="1296" w:x="9580" w:y="119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209,647.84</w:t>
      </w:r>
    </w:p>
    <w:p>
      <w:pPr>
        <w:framePr w:w="4253" w:x="1779" w:y="122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三、利润总额（亏损总额以“－”号填列）</w:t>
      </w:r>
    </w:p>
    <w:p>
      <w:pPr>
        <w:framePr w:w="4253" w:x="1779" w:y="12268"/>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减：所得税费用</w:t>
      </w:r>
    </w:p>
    <w:p>
      <w:pPr>
        <w:framePr w:w="1718" w:x="9160" w:y="122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128,072,731.27</w:t>
      </w:r>
    </w:p>
    <w:p>
      <w:pPr>
        <w:framePr w:w="1718" w:x="9160" w:y="1226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18,918,822.68</w:t>
      </w:r>
    </w:p>
    <w:p>
      <w:pPr>
        <w:framePr w:w="1718" w:x="9160" w:y="1226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109,153,908.59</w:t>
      </w:r>
    </w:p>
    <w:p>
      <w:pPr>
        <w:framePr w:w="1718" w:x="9160" w:y="1226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109,153,908.59</w:t>
      </w:r>
    </w:p>
    <w:p>
      <w:pPr>
        <w:framePr w:w="4124" w:x="1779" w:y="12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四、净利润（净亏损以“－”号填列）</w:t>
      </w:r>
    </w:p>
    <w:p>
      <w:pPr>
        <w:framePr w:w="4124" w:x="1779" w:y="12832"/>
        <w:widowControl w:val="0"/>
        <w:autoSpaceDE w:val="0"/>
        <w:autoSpaceDN w:val="0"/>
        <w:spacing w:before="72" w:line="211" w:lineRule="exact"/>
        <w:ind w:left="24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（一）持续经营净利润（净亏损以“－”</w:t>
      </w:r>
    </w:p>
    <w:p>
      <w:pPr>
        <w:framePr w:w="4124" w:x="1779" w:y="1283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4210" w:x="1798" w:y="13669"/>
        <w:widowControl w:val="0"/>
        <w:autoSpaceDE w:val="0"/>
        <w:autoSpaceDN w:val="0"/>
        <w:spacing w:line="211" w:lineRule="exact"/>
        <w:ind w:left="22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（二）终止经营净利润（净亏损以“－”</w:t>
      </w:r>
    </w:p>
    <w:p>
      <w:pPr>
        <w:framePr w:w="4210" w:x="1798" w:y="1366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号填列）</w:t>
      </w:r>
    </w:p>
    <w:p>
      <w:pPr>
        <w:framePr w:w="4066" w:x="1757" w:y="142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五、其他综合收益的税后净额</w:t>
      </w:r>
    </w:p>
    <w:p>
      <w:pPr>
        <w:framePr w:w="4066" w:x="1757" w:y="14224"/>
        <w:widowControl w:val="0"/>
        <w:autoSpaceDE w:val="0"/>
        <w:autoSpaceDN w:val="0"/>
        <w:spacing w:before="72" w:line="211" w:lineRule="exact"/>
        <w:ind w:left="25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（一）不能重分类进损益的其他综合收</w:t>
      </w:r>
    </w:p>
    <w:p>
      <w:pPr>
        <w:framePr w:w="4066" w:x="1757" w:y="14224"/>
        <w:widowControl w:val="0"/>
        <w:autoSpaceDE w:val="0"/>
        <w:autoSpaceDN w:val="0"/>
        <w:spacing w:before="60" w:line="211" w:lineRule="exact"/>
        <w:ind w:left="4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w:t>
      </w:r>
    </w:p>
    <w:p>
      <w:pPr>
        <w:framePr w:w="3197" w:x="2218" w:y="15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重新计量设定受益计划变动额</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2" type="#_x0000_t75" style="width:445.6pt;height:2.7pt;margin-top:53.3pt;margin-left:87.45pt;mso-position-horizontal-relative:page;mso-position-vertical-relative:page;position:absolute;z-index:-251394048">
            <v:imagedata r:id="rId69" o:title=""/>
          </v:shape>
        </w:pict>
      </w:r>
      <w:r>
        <w:rPr>
          <w:noProof/>
        </w:rPr>
        <w:pict>
          <v:shape id="_x0000_s1103" type="#_x0000_t75" style="width:454.95pt;height:30.8pt;margin-top:74.3pt;margin-left:83.25pt;mso-position-horizontal-relative:page;mso-position-vertical-relative:page;position:absolute;z-index:-251481088">
            <v:imagedata r:id="rId70" o:title=""/>
          </v:shape>
        </w:pict>
      </w:r>
      <w:r>
        <w:rPr>
          <w:noProof/>
        </w:rPr>
        <w:pict>
          <v:shape id="_x0000_s1104" type="#_x0000_t75" style="width:454.95pt;height:535pt;margin-top:231.6pt;margin-left:83.25pt;mso-position-horizontal-relative:page;mso-position-vertical-relative:page;position:absolute;z-index:-251620352">
            <v:imagedata r:id="rId71" o:title=""/>
          </v:shape>
        </w:pict>
      </w:r>
    </w:p>
    <w:p>
      <w:pPr>
        <w:spacing w:line="0" w:lineRule="atLeast"/>
        <w:rPr>
          <w:rFonts w:ascii="Arial" w:eastAsiaTheme="minorEastAsia" w:hAnsiTheme="minorHAnsi" w:cstheme="minorBidi"/>
          <w:color w:val="FF0000"/>
          <w:sz w:val="2"/>
          <w:szCs w:val="22"/>
          <w:lang w:val="en-US" w:eastAsia="en-US" w:bidi="ar-SA"/>
        </w:rPr>
      </w:pPr>
      <w:bookmarkStart w:id="38" w:name="br1_37"/>
      <w:bookmarkEnd w:id="38"/>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619" w:x="221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权益法下不能转损益的其他综合收</w:t>
      </w:r>
    </w:p>
    <w:p>
      <w:pPr>
        <w:framePr w:w="451" w:x="1798"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w:t>
      </w:r>
    </w:p>
    <w:p>
      <w:pPr>
        <w:framePr w:w="3830" w:x="2009" w:y="2102"/>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其他权益工具投资公允价值变动</w:t>
      </w:r>
    </w:p>
    <w:p>
      <w:pPr>
        <w:framePr w:w="3830" w:x="2009" w:y="2102"/>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企业自身信用风险公允价值变动</w:t>
      </w:r>
    </w:p>
    <w:p>
      <w:pPr>
        <w:framePr w:w="3830" w:x="2009" w:y="21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（二）将重分类进损益的其他综合收益</w:t>
      </w:r>
    </w:p>
    <w:p>
      <w:pPr>
        <w:framePr w:w="3830" w:x="2009" w:y="2102"/>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权益法下可转损益的其他综合收益</w:t>
      </w:r>
    </w:p>
    <w:p>
      <w:pPr>
        <w:framePr w:w="3830" w:x="2009" w:y="2102"/>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其他债权投资公允价值变动</w:t>
      </w:r>
    </w:p>
    <w:p>
      <w:pPr>
        <w:framePr w:w="3619" w:x="2218" w:y="3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金融资产重分类计入其他综合收益</w:t>
      </w:r>
    </w:p>
    <w:p>
      <w:pPr>
        <w:framePr w:w="3394" w:x="1798" w:y="37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p>
    <w:p>
      <w:pPr>
        <w:framePr w:w="3394" w:x="1798" w:y="3784"/>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其他债权投资信用减值准备</w:t>
      </w:r>
    </w:p>
    <w:p>
      <w:pPr>
        <w:framePr w:w="2563" w:x="2218" w:y="43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现金流量套期储备</w:t>
      </w:r>
    </w:p>
    <w:p>
      <w:pPr>
        <w:framePr w:w="2563" w:x="2218" w:y="435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外币财务报表折算差额</w:t>
      </w:r>
    </w:p>
    <w:p>
      <w:pPr>
        <w:framePr w:w="2563" w:x="2218" w:y="435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其他</w:t>
      </w:r>
    </w:p>
    <w:p>
      <w:pPr>
        <w:framePr w:w="3310" w:x="1757" w:y="5199"/>
        <w:widowControl w:val="0"/>
        <w:autoSpaceDE w:val="0"/>
        <w:autoSpaceDN w:val="0"/>
        <w:spacing w:line="211" w:lineRule="exact"/>
        <w:ind w:left="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六、综合收益总额</w:t>
      </w:r>
    </w:p>
    <w:p>
      <w:pPr>
        <w:framePr w:w="3310" w:x="1757" w:y="519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七、每股收益：</w:t>
      </w:r>
    </w:p>
    <w:p>
      <w:pPr>
        <w:framePr w:w="3310" w:x="1757" w:y="5199"/>
        <w:widowControl w:val="0"/>
        <w:autoSpaceDE w:val="0"/>
        <w:autoSpaceDN w:val="0"/>
        <w:spacing w:before="72" w:line="211" w:lineRule="exact"/>
        <w:ind w:left="442"/>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（一）基本每股收益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3310" w:x="1757" w:y="5199"/>
        <w:widowControl w:val="0"/>
        <w:autoSpaceDE w:val="0"/>
        <w:autoSpaceDN w:val="0"/>
        <w:spacing w:before="72" w:line="211" w:lineRule="exact"/>
        <w:ind w:left="442"/>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（二）稀释每股收益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元</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
          <w:sz w:val="21"/>
          <w:szCs w:val="22"/>
          <w:lang w:val="en-US" w:eastAsia="en-US" w:bidi="ar-SA"/>
        </w:rPr>
        <w:t>股</w:t>
      </w:r>
      <w:r>
        <w:rPr>
          <w:rFonts w:ascii="SimSun" w:eastAsiaTheme="minorEastAsia" w:hAnsiTheme="minorHAnsi" w:cstheme="minorBidi"/>
          <w:color w:val="000000"/>
          <w:sz w:val="21"/>
          <w:szCs w:val="22"/>
          <w:lang w:val="en-US" w:eastAsia="en-US" w:bidi="ar-SA"/>
        </w:rPr>
        <w:t>)</w:t>
      </w:r>
    </w:p>
    <w:p>
      <w:pPr>
        <w:framePr w:w="1613" w:x="7249" w:y="51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39,834,900.15</w:t>
      </w:r>
    </w:p>
    <w:p>
      <w:pPr>
        <w:framePr w:w="1718" w:x="9160" w:y="51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109,153,908.59</w:t>
      </w:r>
    </w:p>
    <w:p>
      <w:pPr>
        <w:framePr w:w="2141" w:x="1798" w:y="6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319" w:y="6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7993" w:y="6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718" w:x="5475" w:y="77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合并现金流量表</w:t>
      </w:r>
    </w:p>
    <w:p>
      <w:pPr>
        <w:framePr w:w="1661" w:x="5504" w:y="80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p>
    <w:p>
      <w:pPr>
        <w:framePr w:w="2554" w:x="8320" w:y="83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3516" w:y="8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6095" w:y="8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507" w:x="7211" w:y="8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年半年度</w:t>
      </w:r>
    </w:p>
    <w:p>
      <w:pPr>
        <w:framePr w:w="1507" w:x="9158" w:y="8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1"/>
          <w:sz w:val="21"/>
          <w:szCs w:val="22"/>
          <w:lang w:val="en-US" w:eastAsia="en-US" w:bidi="ar-SA"/>
        </w:rPr>
        <w:t>年半年度</w:t>
      </w:r>
    </w:p>
    <w:p>
      <w:pPr>
        <w:framePr w:w="3605" w:x="1798" w:y="8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一、经营活动产生的现金流量：</w:t>
      </w:r>
    </w:p>
    <w:p>
      <w:pPr>
        <w:framePr w:w="3605" w:x="1798" w:y="8919"/>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销售商品、提供劳务收到的现金</w:t>
      </w:r>
    </w:p>
    <w:p>
      <w:pPr>
        <w:framePr w:w="3605" w:x="1798" w:y="891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客户存款和同业存放款项净增加额</w:t>
      </w:r>
    </w:p>
    <w:p>
      <w:pPr>
        <w:framePr w:w="3605" w:x="1798" w:y="891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向中央银行借款净增加额</w:t>
      </w:r>
    </w:p>
    <w:p>
      <w:pPr>
        <w:framePr w:w="3605" w:x="1798" w:y="8919"/>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向其他金融机构拆入资金净增加额</w:t>
      </w:r>
    </w:p>
    <w:p>
      <w:pPr>
        <w:framePr w:w="3605" w:x="1798" w:y="891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收到原保险合同保费取得的现金</w:t>
      </w:r>
    </w:p>
    <w:p>
      <w:pPr>
        <w:framePr w:w="3605" w:x="1798" w:y="891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收到再保业务现金净额</w:t>
      </w:r>
    </w:p>
    <w:p>
      <w:pPr>
        <w:framePr w:w="1718" w:x="7264" w:y="92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796,105,924.03</w:t>
      </w:r>
    </w:p>
    <w:p>
      <w:pPr>
        <w:framePr w:w="1718" w:x="9160" w:y="92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723,981,590.87</w:t>
      </w:r>
    </w:p>
    <w:p>
      <w:pPr>
        <w:framePr w:w="3197" w:x="2009" w:y="108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保户储金及投资款净增加额</w:t>
      </w:r>
    </w:p>
    <w:p>
      <w:pPr>
        <w:framePr w:w="3197" w:x="2009" w:y="1089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收取利息、手续费及佣金的现金</w:t>
      </w:r>
    </w:p>
    <w:p>
      <w:pPr>
        <w:framePr w:w="3197" w:x="2009" w:y="1089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拆入资金净增加额</w:t>
      </w:r>
    </w:p>
    <w:p>
      <w:pPr>
        <w:framePr w:w="2352" w:x="2009" w:y="11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回购业务资金净增加额</w:t>
      </w:r>
    </w:p>
    <w:p>
      <w:pPr>
        <w:framePr w:w="2986" w:x="2009" w:y="12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代理买卖证券收到的现金净额</w:t>
      </w:r>
    </w:p>
    <w:p>
      <w:pPr>
        <w:framePr w:w="2986" w:x="2009" w:y="12025"/>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收到的税费返还</w:t>
      </w:r>
    </w:p>
    <w:p>
      <w:pPr>
        <w:framePr w:w="1613" w:x="7369" w:y="123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33,402,210.71</w:t>
      </w:r>
    </w:p>
    <w:p>
      <w:pPr>
        <w:framePr w:w="1613" w:x="7369" w:y="1230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7,920,584.01</w:t>
      </w:r>
    </w:p>
    <w:p>
      <w:pPr>
        <w:framePr w:w="1613" w:x="9266" w:y="123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46,228,202.00</w:t>
      </w:r>
    </w:p>
    <w:p>
      <w:pPr>
        <w:framePr w:w="1613" w:x="9266" w:y="1230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2,941,326.69</w:t>
      </w:r>
    </w:p>
    <w:p>
      <w:pPr>
        <w:framePr w:w="3197" w:x="2009" w:y="12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收到其他与经营活动有关的现金</w:t>
      </w:r>
    </w:p>
    <w:p>
      <w:pPr>
        <w:framePr w:w="3197" w:x="2009" w:y="12589"/>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经营活动现金流入小计</w:t>
      </w:r>
    </w:p>
    <w:p>
      <w:pPr>
        <w:framePr w:w="1402" w:x="5874" w:y="12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z w:val="21"/>
          <w:szCs w:val="22"/>
          <w:lang w:val="en-US" w:eastAsia="en-US" w:bidi="ar-SA"/>
        </w:rPr>
        <w:t>78</w:t>
      </w: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p>
    <w:p>
      <w:pPr>
        <w:framePr w:w="1718" w:x="7264" w:y="12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837,428,718.75</w:t>
      </w:r>
    </w:p>
    <w:p>
      <w:pPr>
        <w:framePr w:w="1718" w:x="7264" w:y="1287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617,330,603.82</w:t>
      </w:r>
    </w:p>
    <w:p>
      <w:pPr>
        <w:framePr w:w="1718" w:x="9160" w:y="12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773,151,119.56</w:t>
      </w:r>
    </w:p>
    <w:p>
      <w:pPr>
        <w:framePr w:w="1718" w:x="9160" w:y="1287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493,808,694.69</w:t>
      </w:r>
    </w:p>
    <w:p>
      <w:pPr>
        <w:framePr w:w="3408" w:x="2009" w:y="131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购买商品、接受劳务支付的现金</w:t>
      </w:r>
    </w:p>
    <w:p>
      <w:pPr>
        <w:framePr w:w="3408" w:x="2009" w:y="131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客户贷款及垫款净增加额</w:t>
      </w:r>
    </w:p>
    <w:p>
      <w:pPr>
        <w:framePr w:w="3408" w:x="2009" w:y="131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存放中央银行和同业款项净增加额</w:t>
      </w:r>
    </w:p>
    <w:p>
      <w:pPr>
        <w:framePr w:w="3408" w:x="2009" w:y="131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支付原保险合同赔付款项的现金</w:t>
      </w:r>
    </w:p>
    <w:p>
      <w:pPr>
        <w:framePr w:w="3408" w:x="2009" w:y="131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拆出资金净增加额</w:t>
      </w:r>
    </w:p>
    <w:p>
      <w:pPr>
        <w:framePr w:w="3197" w:x="2009" w:y="145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支付利息、手续费及佣金的现金</w:t>
      </w:r>
    </w:p>
    <w:p>
      <w:pPr>
        <w:framePr w:w="3197" w:x="2009" w:y="1456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支付保单红利的现金</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39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5" type="#_x0000_t75" style="width:445.6pt;height:2.7pt;margin-top:53.3pt;margin-left:87.45pt;mso-position-horizontal-relative:page;mso-position-vertical-relative:page;position:absolute;z-index:-251393024">
            <v:imagedata r:id="rId72" o:title=""/>
          </v:shape>
        </w:pict>
      </w:r>
      <w:r>
        <w:rPr>
          <w:noProof/>
        </w:rPr>
        <w:pict>
          <v:shape id="_x0000_s1106" type="#_x0000_t75" style="width:454.95pt;height:241.55pt;margin-top:74.3pt;margin-left:83.25pt;mso-position-horizontal-relative:page;mso-position-vertical-relative:page;position:absolute;z-index:-251480064">
            <v:imagedata r:id="rId73" o:title=""/>
          </v:shape>
        </w:pict>
      </w:r>
      <w:r>
        <w:rPr>
          <w:noProof/>
        </w:rPr>
        <w:pict>
          <v:shape id="_x0000_s1107" type="#_x0000_t75" style="width:454.95pt;height:327.25pt;margin-top:428.8pt;margin-left:83.25pt;mso-position-horizontal-relative:page;mso-position-vertical-relative:page;position:absolute;z-index:-251619328">
            <v:imagedata r:id="rId74" o:title=""/>
          </v:shape>
        </w:pict>
      </w:r>
    </w:p>
    <w:p>
      <w:pPr>
        <w:spacing w:line="0" w:lineRule="atLeast"/>
        <w:rPr>
          <w:rFonts w:ascii="Arial" w:eastAsiaTheme="minorEastAsia" w:hAnsiTheme="minorHAnsi" w:cstheme="minorBidi"/>
          <w:color w:val="FF0000"/>
          <w:sz w:val="2"/>
          <w:szCs w:val="22"/>
          <w:lang w:val="en-US" w:eastAsia="en-US" w:bidi="ar-SA"/>
        </w:rPr>
      </w:pPr>
      <w:bookmarkStart w:id="39" w:name="br1_38"/>
      <w:bookmarkEnd w:id="39"/>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197"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支付给职工及为职工支付的现金</w:t>
      </w:r>
    </w:p>
    <w:p>
      <w:pPr>
        <w:framePr w:w="3197"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支付的各项税费</w:t>
      </w:r>
    </w:p>
    <w:p>
      <w:pPr>
        <w:framePr w:w="1718" w:x="7264" w:y="154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73,299,497.45</w:t>
      </w:r>
    </w:p>
    <w:p>
      <w:pPr>
        <w:framePr w:w="1718" w:x="7264"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26,231,976.06</w:t>
      </w:r>
    </w:p>
    <w:p>
      <w:pPr>
        <w:framePr w:w="1718" w:x="7264"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74,337,813.64</w:t>
      </w:r>
    </w:p>
    <w:p>
      <w:pPr>
        <w:framePr w:w="1718" w:x="7264"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791,199,890.97</w:t>
      </w:r>
    </w:p>
    <w:p>
      <w:pPr>
        <w:framePr w:w="1718" w:x="7264"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46,228,827.78</w:t>
      </w:r>
    </w:p>
    <w:p>
      <w:pPr>
        <w:framePr w:w="1718" w:x="9160" w:y="154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64,065,769.65</w:t>
      </w:r>
    </w:p>
    <w:p>
      <w:pPr>
        <w:framePr w:w="1718" w:x="9160"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24,294,507.96</w:t>
      </w:r>
    </w:p>
    <w:p>
      <w:pPr>
        <w:framePr w:w="1718" w:x="9160" w:y="154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88,049,940.67</w:t>
      </w:r>
    </w:p>
    <w:p>
      <w:pPr>
        <w:framePr w:w="1718" w:x="9160"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670,218,912.97</w:t>
      </w:r>
    </w:p>
    <w:p>
      <w:pPr>
        <w:framePr w:w="1718" w:x="9160"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102,932,206.59</w:t>
      </w:r>
    </w:p>
    <w:p>
      <w:pPr>
        <w:framePr w:w="3197" w:x="2009"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支付其他与经营活动有关的现金</w:t>
      </w:r>
    </w:p>
    <w:p>
      <w:pPr>
        <w:framePr w:w="3197" w:x="2009" w:y="2112"/>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经营活动现金流出小计</w:t>
      </w:r>
    </w:p>
    <w:p>
      <w:pPr>
        <w:framePr w:w="1402" w:x="5874"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ascii="SimSun" w:eastAsiaTheme="minorEastAsia" w:hAnsiTheme="minorHAnsi" w:cstheme="minorBidi"/>
          <w:color w:val="000000"/>
          <w:sz w:val="21"/>
          <w:szCs w:val="22"/>
          <w:lang w:val="en-US" w:eastAsia="en-US" w:bidi="ar-SA"/>
        </w:rPr>
        <w:t>78</w:t>
      </w:r>
      <w:r>
        <w:rPr>
          <w:rFonts w:ascii="SimSun" w:hAnsi="SimSun" w:eastAsiaTheme="minorEastAsia" w:cs="SimSun"/>
          <w:color w:val="000000"/>
          <w:spacing w:val="2"/>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p>
    <w:p>
      <w:pPr>
        <w:framePr w:w="3605" w:x="1798" w:y="2676"/>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3605" w:x="1798" w:y="26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二、投资活动产生的现金流量：</w:t>
      </w:r>
    </w:p>
    <w:p>
      <w:pPr>
        <w:framePr w:w="3605" w:x="1798" w:y="2676"/>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收回投资收到的现金</w:t>
      </w:r>
    </w:p>
    <w:p>
      <w:pPr>
        <w:framePr w:w="1930" w:x="7055"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1,477,450,000.00</w:t>
      </w:r>
    </w:p>
    <w:p>
      <w:pPr>
        <w:framePr w:w="1930" w:x="7055" w:y="3240"/>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4,167,694.56</w:t>
      </w:r>
    </w:p>
    <w:p>
      <w:pPr>
        <w:framePr w:w="1930" w:x="7055" w:y="3240"/>
        <w:widowControl w:val="0"/>
        <w:autoSpaceDE w:val="0"/>
        <w:autoSpaceDN w:val="0"/>
        <w:spacing w:before="7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221,970.90</w:t>
      </w:r>
    </w:p>
    <w:p>
      <w:pPr>
        <w:framePr w:w="1718" w:x="9160"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802,540,000.00</w:t>
      </w:r>
    </w:p>
    <w:p>
      <w:pPr>
        <w:framePr w:w="1718" w:x="9160" w:y="3240"/>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2,158,083.60</w:t>
      </w:r>
    </w:p>
    <w:p>
      <w:pPr>
        <w:framePr w:w="1718" w:x="9160" w:y="3240"/>
        <w:widowControl w:val="0"/>
        <w:autoSpaceDE w:val="0"/>
        <w:autoSpaceDN w:val="0"/>
        <w:spacing w:before="72"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67,400.00</w:t>
      </w:r>
    </w:p>
    <w:p>
      <w:pPr>
        <w:framePr w:w="2563" w:x="2009"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取得投资收益收到的现金</w:t>
      </w:r>
    </w:p>
    <w:p>
      <w:pPr>
        <w:framePr w:w="4025" w:x="1798" w:y="380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处置固定资产、无形资产和其他长期资</w:t>
      </w:r>
    </w:p>
    <w:p>
      <w:pPr>
        <w:framePr w:w="4025" w:x="1798" w:y="380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产收回的现金净额</w:t>
      </w:r>
    </w:p>
    <w:p>
      <w:pPr>
        <w:framePr w:w="4025" w:x="1798" w:y="4360"/>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处置子公司及其他营业单位收到的现金</w:t>
      </w:r>
    </w:p>
    <w:p>
      <w:pPr>
        <w:framePr w:w="4025" w:x="1798" w:y="436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净额</w:t>
      </w:r>
    </w:p>
    <w:p>
      <w:pPr>
        <w:framePr w:w="3197" w:x="2009" w:y="49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收到其他与投资活动有关的现金</w:t>
      </w:r>
    </w:p>
    <w:p>
      <w:pPr>
        <w:framePr w:w="3197" w:x="2009" w:y="4915"/>
        <w:widowControl w:val="0"/>
        <w:autoSpaceDE w:val="0"/>
        <w:autoSpaceDN w:val="0"/>
        <w:spacing w:before="73"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投资活动现金流入小计</w:t>
      </w:r>
    </w:p>
    <w:p>
      <w:pPr>
        <w:framePr w:w="1930" w:x="7055" w:y="51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1,481,839,665.46</w:t>
      </w:r>
    </w:p>
    <w:p>
      <w:pPr>
        <w:framePr w:w="1930" w:x="7055" w:y="519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58,367,491.23</w:t>
      </w:r>
    </w:p>
    <w:p>
      <w:pPr>
        <w:framePr w:w="1718" w:x="9160" w:y="51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804,765,483.60</w:t>
      </w:r>
    </w:p>
    <w:p>
      <w:pPr>
        <w:framePr w:w="1718" w:x="9160" w:y="519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185,409,988.29</w:t>
      </w:r>
    </w:p>
    <w:p>
      <w:pPr>
        <w:framePr w:w="4025" w:x="1798" w:y="5479"/>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购建固定资产、无形资产和其他长期资</w:t>
      </w:r>
    </w:p>
    <w:p>
      <w:pPr>
        <w:framePr w:w="4025" w:x="1798" w:y="547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产支付的现金</w:t>
      </w:r>
    </w:p>
    <w:p>
      <w:pPr>
        <w:framePr w:w="1718" w:x="2009" w:y="60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投资支付的现金</w:t>
      </w:r>
    </w:p>
    <w:p>
      <w:pPr>
        <w:framePr w:w="1930" w:x="7055" w:y="6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1,530,050,000.00</w:t>
      </w:r>
    </w:p>
    <w:p>
      <w:pPr>
        <w:framePr w:w="1718" w:x="9160" w:y="60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934,440,000.00</w:t>
      </w:r>
    </w:p>
    <w:p>
      <w:pPr>
        <w:framePr w:w="1930" w:x="2009"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质押贷款净增加额</w:t>
      </w:r>
    </w:p>
    <w:p>
      <w:pPr>
        <w:framePr w:w="4025" w:x="1798" w:y="6600"/>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取得子公司及其他营业单位支付的现金</w:t>
      </w:r>
    </w:p>
    <w:p>
      <w:pPr>
        <w:framePr w:w="4025" w:x="1798" w:y="660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净额</w:t>
      </w:r>
    </w:p>
    <w:p>
      <w:pPr>
        <w:framePr w:w="3197" w:x="2009" w:y="71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支付其他与投资活动有关的现金</w:t>
      </w:r>
    </w:p>
    <w:p>
      <w:pPr>
        <w:framePr w:w="3197" w:x="2009" w:y="7155"/>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投资活动现金流出小计</w:t>
      </w:r>
    </w:p>
    <w:p>
      <w:pPr>
        <w:framePr w:w="3819" w:x="7055" w:y="74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1,588,417,491.23</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1,119,849,988.29</w:t>
      </w:r>
    </w:p>
    <w:p>
      <w:pPr>
        <w:framePr w:w="3819" w:x="7055" w:y="743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-106,577,825.77</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-315,084,504.69</w:t>
      </w:r>
    </w:p>
    <w:p>
      <w:pPr>
        <w:framePr w:w="3197" w:x="1798" w:y="77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3197" w:x="1798" w:y="77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三、筹资活动产生的现金流量：</w:t>
      </w:r>
    </w:p>
    <w:p>
      <w:pPr>
        <w:framePr w:w="3197" w:x="1798" w:y="7719"/>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吸收投资收到的现金</w:t>
      </w:r>
    </w:p>
    <w:p>
      <w:pPr>
        <w:framePr w:w="4025" w:x="1798" w:y="856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其中：子公司吸收少数股东投资收到的</w:t>
      </w:r>
    </w:p>
    <w:p>
      <w:pPr>
        <w:framePr w:w="4025" w:x="1798" w:y="85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现金</w:t>
      </w:r>
    </w:p>
    <w:p>
      <w:pPr>
        <w:framePr w:w="2141" w:x="2009" w:y="91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取得借款收到的现金</w:t>
      </w:r>
    </w:p>
    <w:p>
      <w:pPr>
        <w:framePr w:w="1613" w:x="7369" w:y="91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33,029,020.06</w:t>
      </w:r>
    </w:p>
    <w:p>
      <w:pPr>
        <w:framePr w:w="1718" w:x="9160" w:y="91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123,000,000.00</w:t>
      </w:r>
    </w:p>
    <w:p>
      <w:pPr>
        <w:framePr w:w="3197" w:x="2009" w:y="94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收到其他与筹资活动有关的现金</w:t>
      </w:r>
    </w:p>
    <w:p>
      <w:pPr>
        <w:framePr w:w="3197" w:x="2009" w:y="9404"/>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筹资活动现金流入小计</w:t>
      </w:r>
    </w:p>
    <w:p>
      <w:pPr>
        <w:framePr w:w="1718" w:x="7264" w:y="968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33,029,020.06</w:t>
      </w:r>
    </w:p>
    <w:p>
      <w:pPr>
        <w:framePr w:w="1718" w:x="7264" w:y="968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153,808,400.10</w:t>
      </w:r>
    </w:p>
    <w:p>
      <w:pPr>
        <w:framePr w:w="1718" w:x="7264" w:y="968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34,180,362.93</w:t>
      </w:r>
    </w:p>
    <w:p>
      <w:pPr>
        <w:framePr w:w="1718" w:x="9160" w:y="96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123,000,000.00</w:t>
      </w:r>
    </w:p>
    <w:p>
      <w:pPr>
        <w:framePr w:w="1718" w:x="9160" w:y="968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718" w:x="9160" w:y="9685"/>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609,845.84</w:t>
      </w:r>
    </w:p>
    <w:p>
      <w:pPr>
        <w:framePr w:w="2141" w:x="2009" w:y="9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偿还债务支付的现金</w:t>
      </w:r>
    </w:p>
    <w:p>
      <w:pPr>
        <w:framePr w:w="4025" w:x="1798" w:y="10251"/>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分配股利、利润或偿付利息支付的现金</w:t>
      </w:r>
    </w:p>
    <w:p>
      <w:pPr>
        <w:framePr w:w="4025" w:x="1798" w:y="10251"/>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其中：子公司支付给少数股东的股利、</w:t>
      </w:r>
    </w:p>
    <w:p>
      <w:pPr>
        <w:framePr w:w="4025" w:x="1798" w:y="1025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利润</w:t>
      </w:r>
    </w:p>
    <w:p>
      <w:pPr>
        <w:framePr w:w="3197" w:x="2009" w:y="110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支付其他与筹资活动有关的现金</w:t>
      </w:r>
    </w:p>
    <w:p>
      <w:pPr>
        <w:framePr w:w="3197" w:x="2009" w:y="11086"/>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筹资活动现金流出小计</w:t>
      </w:r>
    </w:p>
    <w:p>
      <w:pPr>
        <w:framePr w:w="1824" w:x="7161" w:y="11369"/>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187,988,763.03</w:t>
      </w:r>
    </w:p>
    <w:p>
      <w:pPr>
        <w:framePr w:w="1824" w:x="7161" w:y="113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-154,959,742.97</w:t>
      </w:r>
    </w:p>
    <w:p>
      <w:pPr>
        <w:framePr w:w="1824" w:x="7161" w:y="11369"/>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-3,871,145.84</w:t>
      </w:r>
    </w:p>
    <w:p>
      <w:pPr>
        <w:framePr w:w="1718" w:x="9160" w:y="1136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20,609,845.84</w:t>
      </w:r>
    </w:p>
    <w:p>
      <w:pPr>
        <w:framePr w:w="1718" w:x="9160" w:y="113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102,390,154.16</w:t>
      </w:r>
    </w:p>
    <w:p>
      <w:pPr>
        <w:framePr w:w="1718" w:x="9160" w:y="11369"/>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124,514.74</w:t>
      </w:r>
    </w:p>
    <w:p>
      <w:pPr>
        <w:framePr w:w="4042" w:x="1798" w:y="11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4042" w:x="1798" w:y="11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四、汇率变动对现金及现金等价物的影响</w:t>
      </w:r>
    </w:p>
    <w:p>
      <w:pPr>
        <w:framePr w:w="4042" w:x="1798" w:y="11653"/>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五、现金及现金等价物净增加额</w:t>
      </w:r>
    </w:p>
    <w:p>
      <w:pPr>
        <w:framePr w:w="4042" w:x="1798" w:y="1165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加：期初现金及现金等价物余额</w:t>
      </w:r>
    </w:p>
    <w:p>
      <w:pPr>
        <w:framePr w:w="4042" w:x="1798" w:y="11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六、期末现金及现金等价物余额</w:t>
      </w:r>
    </w:p>
    <w:p>
      <w:pPr>
        <w:framePr w:w="3714" w:x="7161" w:y="122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-219,179,886.80</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-109,637,629.20</w:t>
      </w:r>
    </w:p>
    <w:p>
      <w:pPr>
        <w:framePr w:w="1718" w:x="7264" w:y="125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718" w:x="7264" w:y="1250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144,067,263.63</w:t>
      </w:r>
    </w:p>
    <w:p>
      <w:pPr>
        <w:framePr w:w="1718" w:x="9160" w:y="125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242,878,423.00</w:t>
      </w:r>
    </w:p>
    <w:p>
      <w:pPr>
        <w:framePr w:w="1718" w:x="9160" w:y="1250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133,240,793.80</w:t>
      </w:r>
    </w:p>
    <w:p>
      <w:pPr>
        <w:framePr w:w="2141" w:x="1798"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424"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7890"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1930" w:x="5370" w:y="139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母公司现金流量表</w:t>
      </w:r>
    </w:p>
    <w:p>
      <w:pPr>
        <w:framePr w:w="1661" w:x="5504" w:y="142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p>
    <w:p>
      <w:pPr>
        <w:framePr w:w="2343" w:x="8531" w:y="145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14545"/>
        <w:widowControl w:val="0"/>
        <w:autoSpaceDE w:val="0"/>
        <w:autoSpaceDN w:val="0"/>
        <w:spacing w:before="72" w:line="211" w:lineRule="exact"/>
        <w:ind w:left="531"/>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pacing w:val="1"/>
          <w:sz w:val="21"/>
          <w:szCs w:val="22"/>
          <w:lang w:val="en-US" w:eastAsia="en-US" w:bidi="ar-SA"/>
        </w:rPr>
        <w:t>年半年度</w:t>
      </w:r>
    </w:p>
    <w:p>
      <w:pPr>
        <w:framePr w:w="662" w:x="3305" w:y="14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5737" w:y="14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附注</w:t>
      </w:r>
    </w:p>
    <w:p>
      <w:pPr>
        <w:framePr w:w="1507" w:x="6971" w:y="14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年半年度</w:t>
      </w:r>
    </w:p>
    <w:p>
      <w:pPr>
        <w:framePr w:w="3197" w:x="1798" w:y="15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一、经营活动产生的现金流量：</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08" type="#_x0000_t75" style="width:445.6pt;height:2.7pt;margin-top:53.3pt;margin-left:87.45pt;mso-position-horizontal-relative:page;mso-position-vertical-relative:page;position:absolute;z-index:-251392000">
            <v:imagedata r:id="rId75" o:title=""/>
          </v:shape>
        </w:pict>
      </w:r>
      <w:r>
        <w:rPr>
          <w:noProof/>
        </w:rPr>
        <w:pict>
          <v:shape id="_x0000_s1109" type="#_x0000_t75" style="width:454.95pt;height:578.45pt;margin-top:74.3pt;margin-left:83.25pt;mso-position-horizontal-relative:page;mso-position-vertical-relative:page;position:absolute;z-index:-251479040">
            <v:imagedata r:id="rId76" o:title=""/>
          </v:shape>
        </w:pict>
      </w:r>
      <w:r>
        <w:rPr>
          <w:noProof/>
        </w:rPr>
        <w:pict>
          <v:shape id="_x0000_s1110" type="#_x0000_t75" style="width:454.95pt;height:30.7pt;margin-top:738.45pt;margin-left:83.25pt;mso-position-horizontal-relative:page;mso-position-vertical-relative:page;position:absolute;z-index:-251618304">
            <v:imagedata r:id="rId77" o:title=""/>
          </v:shape>
        </w:pict>
      </w:r>
    </w:p>
    <w:p>
      <w:pPr>
        <w:spacing w:line="0" w:lineRule="atLeast"/>
        <w:rPr>
          <w:rFonts w:ascii="Arial" w:eastAsiaTheme="minorEastAsia" w:hAnsiTheme="minorHAnsi" w:cstheme="minorBidi"/>
          <w:color w:val="FF0000"/>
          <w:sz w:val="2"/>
          <w:szCs w:val="22"/>
          <w:lang w:val="en-US" w:eastAsia="en-US" w:bidi="ar-SA"/>
        </w:rPr>
      </w:pPr>
      <w:bookmarkStart w:id="40" w:name="br1_39"/>
      <w:bookmarkEnd w:id="40"/>
      <w:r>
        <w:rPr>
          <w:rFonts w:ascii="Arial" w:eastAsiaTheme="minorEastAsia" w:hAnsiTheme="minorHAnsi" w:cstheme="minorBidi"/>
          <w:color w:val="FF0000"/>
          <w:sz w:val="2"/>
          <w:szCs w:val="22"/>
          <w:lang w:val="en-US" w:eastAsia="en-US" w:bidi="ar-SA"/>
        </w:rPr>
        <w:t xml:space="preserve"> </w:t>
      </w:r>
    </w:p>
    <w:p>
      <w:pPr>
        <w:framePr w:w="1730" w:x="5459" w:y="842"/>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197"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销售商品、提供劳务收到的现金</w:t>
      </w:r>
    </w:p>
    <w:p>
      <w:pPr>
        <w:framePr w:w="3197"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收到的税费返还</w:t>
      </w:r>
    </w:p>
    <w:p>
      <w:pPr>
        <w:framePr w:w="1718" w:x="7074"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418,467,531.44</w:t>
      </w:r>
    </w:p>
    <w:p>
      <w:pPr>
        <w:framePr w:w="1718" w:x="7074"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25,271,729.64</w:t>
      </w:r>
    </w:p>
    <w:p>
      <w:pPr>
        <w:framePr w:w="1718" w:x="7074" w:y="154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2,801,729.59</w:t>
      </w:r>
    </w:p>
    <w:p>
      <w:pPr>
        <w:framePr w:w="1718" w:x="916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516,031,556.09</w:t>
      </w:r>
    </w:p>
    <w:p>
      <w:pPr>
        <w:framePr w:w="1718" w:x="9160"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43,774,694.33</w:t>
      </w:r>
    </w:p>
    <w:p>
      <w:pPr>
        <w:framePr w:w="1718" w:x="9160" w:y="154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3,124,354.64</w:t>
      </w:r>
    </w:p>
    <w:p>
      <w:pPr>
        <w:framePr w:w="3197" w:x="2009"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收到其他与经营活动有关的现金</w:t>
      </w:r>
    </w:p>
    <w:p>
      <w:pPr>
        <w:framePr w:w="3197" w:x="2009" w:y="2112"/>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经营活动现金流入小计</w:t>
      </w:r>
    </w:p>
    <w:p>
      <w:pPr>
        <w:framePr w:w="1718" w:x="7074"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446,540,990.67</w:t>
      </w:r>
    </w:p>
    <w:p>
      <w:pPr>
        <w:framePr w:w="1718" w:x="7074" w:y="239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423,288,885.31</w:t>
      </w:r>
    </w:p>
    <w:p>
      <w:pPr>
        <w:framePr w:w="1718" w:x="7074" w:y="239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23,502,746.50</w:t>
      </w:r>
    </w:p>
    <w:p>
      <w:pPr>
        <w:framePr w:w="1718" w:x="7074" w:y="2395"/>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8,034,423.59</w:t>
      </w:r>
    </w:p>
    <w:p>
      <w:pPr>
        <w:framePr w:w="1718" w:x="9160"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562,930,605.06</w:t>
      </w:r>
    </w:p>
    <w:p>
      <w:pPr>
        <w:framePr w:w="1718" w:x="9160" w:y="239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410,314,620.17</w:t>
      </w:r>
    </w:p>
    <w:p>
      <w:pPr>
        <w:framePr w:w="1718" w:x="9160" w:y="239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26,955,562.26</w:t>
      </w:r>
    </w:p>
    <w:p>
      <w:pPr>
        <w:framePr w:w="1718" w:x="9160" w:y="239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14,764,609.26</w:t>
      </w:r>
    </w:p>
    <w:p>
      <w:pPr>
        <w:framePr w:w="1718" w:x="9160" w:y="239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89,544,013.41</w:t>
      </w:r>
    </w:p>
    <w:p>
      <w:pPr>
        <w:framePr w:w="1718" w:x="9160" w:y="23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541,578,805.10</w:t>
      </w:r>
    </w:p>
    <w:p>
      <w:pPr>
        <w:framePr w:w="1718" w:x="9160" w:y="2395"/>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21,351,799.96</w:t>
      </w:r>
    </w:p>
    <w:p>
      <w:pPr>
        <w:framePr w:w="3197" w:x="2009"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购买商品、接受劳务支付的现金</w:t>
      </w:r>
    </w:p>
    <w:p>
      <w:pPr>
        <w:framePr w:w="3197" w:x="2009" w:y="26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支付给职工及为职工支付的现金</w:t>
      </w:r>
    </w:p>
    <w:p>
      <w:pPr>
        <w:framePr w:w="3197" w:x="2009" w:y="267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支付的各项税费</w:t>
      </w:r>
    </w:p>
    <w:p>
      <w:pPr>
        <w:framePr w:w="3197" w:x="2009"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支付其他与经营活动有关的现金</w:t>
      </w:r>
    </w:p>
    <w:p>
      <w:pPr>
        <w:framePr w:w="3197" w:x="2009" w:y="3523"/>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经营活动现金流出小计</w:t>
      </w:r>
    </w:p>
    <w:p>
      <w:pPr>
        <w:framePr w:w="1824" w:x="6971" w:y="3523"/>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145,976,336.56</w:t>
      </w:r>
    </w:p>
    <w:p>
      <w:pPr>
        <w:framePr w:w="1824" w:x="6971" w:y="3523"/>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600,802,391.96</w:t>
      </w:r>
    </w:p>
    <w:p>
      <w:pPr>
        <w:framePr w:w="1824" w:x="6971" w:y="352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-154,261,401.29</w:t>
      </w:r>
    </w:p>
    <w:p>
      <w:pPr>
        <w:framePr w:w="3197" w:x="1798" w:y="408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3197" w:x="1798" w:y="408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二、投资活动产生的现金流量：</w:t>
      </w:r>
    </w:p>
    <w:p>
      <w:pPr>
        <w:framePr w:w="3197" w:x="1798" w:y="408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收回投资收到的现金</w:t>
      </w:r>
    </w:p>
    <w:p>
      <w:pPr>
        <w:framePr w:w="1718" w:x="7074" w:y="46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898,500,000.00</w:t>
      </w:r>
    </w:p>
    <w:p>
      <w:pPr>
        <w:framePr w:w="1718" w:x="7074" w:y="4653"/>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2,728,790.14</w:t>
      </w:r>
    </w:p>
    <w:p>
      <w:pPr>
        <w:framePr w:w="1718" w:x="7074" w:y="4653"/>
        <w:widowControl w:val="0"/>
        <w:autoSpaceDE w:val="0"/>
        <w:autoSpaceDN w:val="0"/>
        <w:spacing w:before="73"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221,620.90</w:t>
      </w:r>
    </w:p>
    <w:p>
      <w:pPr>
        <w:framePr w:w="1718" w:x="9160" w:y="46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541,000,000.00</w:t>
      </w:r>
    </w:p>
    <w:p>
      <w:pPr>
        <w:framePr w:w="1718" w:x="9160" w:y="4653"/>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1,709,619.15</w:t>
      </w:r>
    </w:p>
    <w:p>
      <w:pPr>
        <w:framePr w:w="3605" w:x="1798" w:y="4934"/>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取得投资收益收到的现金</w:t>
      </w:r>
    </w:p>
    <w:p>
      <w:pPr>
        <w:framePr w:w="3605" w:x="1798" w:y="4934"/>
        <w:widowControl w:val="0"/>
        <w:autoSpaceDE w:val="0"/>
        <w:autoSpaceDN w:val="0"/>
        <w:spacing w:before="73"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处置固定资产、无形资产和其他长</w:t>
      </w:r>
    </w:p>
    <w:p>
      <w:pPr>
        <w:framePr w:w="3605" w:x="1798" w:y="493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期资产收回的现金净额</w:t>
      </w:r>
    </w:p>
    <w:p>
      <w:pPr>
        <w:framePr w:w="3605" w:x="1798" w:y="5772"/>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处置子公司及其他营业单位收到的</w:t>
      </w:r>
    </w:p>
    <w:p>
      <w:pPr>
        <w:framePr w:w="3605" w:x="1798" w:y="577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现金净额</w:t>
      </w:r>
    </w:p>
    <w:p>
      <w:pPr>
        <w:framePr w:w="3197" w:x="2009" w:y="63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收到其他与投资活动有关的现金</w:t>
      </w:r>
    </w:p>
    <w:p>
      <w:pPr>
        <w:framePr w:w="3197" w:x="2009" w:y="6327"/>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投资活动现金流入小计</w:t>
      </w:r>
    </w:p>
    <w:p>
      <w:pPr>
        <w:framePr w:w="1718" w:x="7074" w:y="66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901,450,411.04</w:t>
      </w:r>
    </w:p>
    <w:p>
      <w:pPr>
        <w:framePr w:w="1718" w:x="7074" w:y="661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2,241,283.80</w:t>
      </w:r>
    </w:p>
    <w:p>
      <w:pPr>
        <w:framePr w:w="1718" w:x="9160" w:y="66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542,709,619.15</w:t>
      </w:r>
    </w:p>
    <w:p>
      <w:pPr>
        <w:framePr w:w="1718" w:x="9160" w:y="661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4,460,575.00</w:t>
      </w:r>
    </w:p>
    <w:p>
      <w:pPr>
        <w:framePr w:w="3605" w:x="1798" w:y="6891"/>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购建固定资产、无形资产和其他长</w:t>
      </w:r>
    </w:p>
    <w:p>
      <w:pPr>
        <w:framePr w:w="3605" w:x="1798" w:y="689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期资产支付的现金</w:t>
      </w:r>
    </w:p>
    <w:p>
      <w:pPr>
        <w:framePr w:w="1718" w:x="2009" w:y="7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投资支付的现金</w:t>
      </w:r>
    </w:p>
    <w:p>
      <w:pPr>
        <w:framePr w:w="1718" w:x="7074" w:y="74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842,800,000.00</w:t>
      </w:r>
    </w:p>
    <w:p>
      <w:pPr>
        <w:framePr w:w="1718" w:x="9160" w:y="74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635,400,000.00</w:t>
      </w:r>
    </w:p>
    <w:p>
      <w:pPr>
        <w:framePr w:w="3605" w:x="1798" w:y="7728"/>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取得子公司及其他营业单位支付的</w:t>
      </w:r>
    </w:p>
    <w:p>
      <w:pPr>
        <w:framePr w:w="3605" w:x="1798" w:y="772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现金净额</w:t>
      </w:r>
    </w:p>
    <w:p>
      <w:pPr>
        <w:framePr w:w="3197" w:x="2009" w:y="8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支付其他与投资活动有关的现金</w:t>
      </w:r>
    </w:p>
    <w:p>
      <w:pPr>
        <w:framePr w:w="3197" w:x="2009" w:y="8283"/>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投资活动现金流出小计</w:t>
      </w:r>
    </w:p>
    <w:p>
      <w:pPr>
        <w:framePr w:w="1718" w:x="7074" w:y="8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845,041,283.80</w:t>
      </w:r>
    </w:p>
    <w:p>
      <w:pPr>
        <w:framePr w:w="1718" w:x="7074" w:y="856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56,409,127.24</w:t>
      </w:r>
    </w:p>
    <w:p>
      <w:pPr>
        <w:framePr w:w="1718" w:x="9160" w:y="85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639,860,575.00</w:t>
      </w:r>
    </w:p>
    <w:p>
      <w:pPr>
        <w:framePr w:w="1718" w:x="9160" w:y="856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-97,150,955.85</w:t>
      </w:r>
    </w:p>
    <w:p>
      <w:pPr>
        <w:framePr w:w="3605" w:x="1798" w:y="8849"/>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投资活动产生的现金流量净额</w:t>
      </w:r>
    </w:p>
    <w:p>
      <w:pPr>
        <w:framePr w:w="3605" w:x="1798" w:y="884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三、筹资活动产生的现金流量：</w:t>
      </w:r>
    </w:p>
    <w:p>
      <w:pPr>
        <w:framePr w:w="3605" w:x="1798" w:y="884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吸收投资收到的现金</w:t>
      </w:r>
    </w:p>
    <w:p>
      <w:pPr>
        <w:framePr w:w="2141" w:x="2009" w:y="96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取得借款收到的现金</w:t>
      </w:r>
    </w:p>
    <w:p>
      <w:pPr>
        <w:framePr w:w="1613" w:x="7180" w:y="96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33,029,020.06</w:t>
      </w:r>
    </w:p>
    <w:p>
      <w:pPr>
        <w:framePr w:w="1613" w:x="9266" w:y="96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9266" w:y="9697"/>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9266" w:y="9697"/>
        <w:widowControl w:val="0"/>
        <w:autoSpaceDE w:val="0"/>
        <w:autoSpaceDN w:val="0"/>
        <w:spacing w:before="353"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194,541.67</w:t>
      </w:r>
    </w:p>
    <w:p>
      <w:pPr>
        <w:framePr w:w="3197" w:x="2009" w:y="99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收到其他与筹资活动有关的现金</w:t>
      </w:r>
    </w:p>
    <w:p>
      <w:pPr>
        <w:framePr w:w="3197" w:x="2009" w:y="9978"/>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筹资活动现金流入小计</w:t>
      </w:r>
    </w:p>
    <w:p>
      <w:pPr>
        <w:framePr w:w="1613" w:x="7180" w:y="102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33,029,020.06</w:t>
      </w:r>
    </w:p>
    <w:p>
      <w:pPr>
        <w:framePr w:w="1613" w:x="7180" w:y="102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13,308,400.10</w:t>
      </w:r>
    </w:p>
    <w:p>
      <w:pPr>
        <w:framePr w:w="1613" w:x="7180" w:y="1026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33,740,710.85</w:t>
      </w:r>
    </w:p>
    <w:p>
      <w:pPr>
        <w:framePr w:w="2141" w:x="2009" w:y="105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偿还债务支付的现金</w:t>
      </w:r>
    </w:p>
    <w:p>
      <w:pPr>
        <w:framePr w:w="3605" w:x="1798" w:y="10825"/>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分配股利、利润或偿付利息支付的</w:t>
      </w:r>
    </w:p>
    <w:p>
      <w:pPr>
        <w:framePr w:w="3605" w:x="1798" w:y="1082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现金</w:t>
      </w:r>
    </w:p>
    <w:p>
      <w:pPr>
        <w:framePr w:w="3197" w:x="2009" w:y="113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支付其他与筹资活动有关的现金</w:t>
      </w:r>
    </w:p>
    <w:p>
      <w:pPr>
        <w:framePr w:w="3197" w:x="2009" w:y="11379"/>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筹资活动现金流出小计</w:t>
      </w:r>
    </w:p>
    <w:p>
      <w:pPr>
        <w:framePr w:w="1718" w:x="7074" w:y="1166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47,049,110.95</w:t>
      </w:r>
    </w:p>
    <w:p>
      <w:pPr>
        <w:framePr w:w="1718" w:x="7074" w:y="1166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-14,020,090.89</w:t>
      </w:r>
    </w:p>
    <w:p>
      <w:pPr>
        <w:framePr w:w="1718" w:x="7074" w:y="1166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-3,761,149.87</w:t>
      </w:r>
    </w:p>
    <w:p>
      <w:pPr>
        <w:framePr w:w="1613" w:x="9266" w:y="11662"/>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194,541.67</w:t>
      </w:r>
    </w:p>
    <w:p>
      <w:pPr>
        <w:framePr w:w="1613" w:x="9266" w:y="1166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19,805,458.33</w:t>
      </w:r>
    </w:p>
    <w:p>
      <w:pPr>
        <w:framePr w:w="1613" w:x="9266" w:y="11662"/>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-192,991.81</w:t>
      </w:r>
    </w:p>
    <w:p>
      <w:pPr>
        <w:framePr w:w="3619" w:x="1798" w:y="11945"/>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筹资活动产生的现金流量净额</w:t>
      </w:r>
    </w:p>
    <w:p>
      <w:pPr>
        <w:framePr w:w="3619" w:x="1798" w:y="1194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四、汇率变动对现金及现金等价物的</w:t>
      </w:r>
    </w:p>
    <w:p>
      <w:pPr>
        <w:framePr w:w="3619" w:x="1798" w:y="1194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影响</w:t>
      </w:r>
    </w:p>
    <w:p>
      <w:pPr>
        <w:framePr w:w="3396" w:x="1798" w:y="127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五、现金及现金等价物净增加额</w:t>
      </w:r>
    </w:p>
    <w:p>
      <w:pPr>
        <w:framePr w:w="3396" w:x="1798" w:y="12781"/>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加：期初现金及现金等价物余额</w:t>
      </w:r>
    </w:p>
    <w:p>
      <w:pPr>
        <w:framePr w:w="3396" w:x="1798" w:y="1278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六、期末现金及现金等价物余额</w:t>
      </w:r>
    </w:p>
    <w:p>
      <w:pPr>
        <w:framePr w:w="1824" w:x="6971" w:y="127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-115,633,514.81</w:t>
      </w:r>
    </w:p>
    <w:p>
      <w:pPr>
        <w:framePr w:w="1824" w:x="6971" w:y="12781"/>
        <w:widowControl w:val="0"/>
        <w:autoSpaceDE w:val="0"/>
        <w:autoSpaceDN w:val="0"/>
        <w:spacing w:before="72"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198,421,278.13</w:t>
      </w:r>
    </w:p>
    <w:p>
      <w:pPr>
        <w:framePr w:w="1824" w:x="6971" w:y="12781"/>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82,787,763.32</w:t>
      </w:r>
    </w:p>
    <w:p>
      <w:pPr>
        <w:framePr w:w="1718" w:x="9160" w:y="127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-56,186,689.37</w:t>
      </w:r>
    </w:p>
    <w:p>
      <w:pPr>
        <w:framePr w:w="1718" w:x="9160" w:y="1278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147,312,917.05</w:t>
      </w:r>
    </w:p>
    <w:p>
      <w:pPr>
        <w:framePr w:w="1613" w:x="9266" w:y="13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91,126,227.68</w:t>
      </w:r>
    </w:p>
    <w:p>
      <w:pPr>
        <w:framePr w:w="2141" w:x="1798" w:y="136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4424" w:y="136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7996" w:y="136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11" type="#_x0000_t75" style="width:445.6pt;height:2.7pt;margin-top:53.3pt;margin-left:87.45pt;mso-position-horizontal-relative:page;mso-position-vertical-relative:page;position:absolute;z-index:-251478016">
            <v:imagedata r:id="rId78" o:title=""/>
          </v:shape>
        </w:pict>
      </w:r>
      <w:r>
        <w:rPr>
          <w:noProof/>
        </w:rPr>
        <w:pict>
          <v:shape id="_x0000_s1112" type="#_x0000_t75" style="width:454.95pt;height:606.65pt;margin-top:74.3pt;margin-left:83.25pt;mso-position-horizontal-relative:page;mso-position-vertical-relative:page;position:absolute;z-index:-251617280">
            <v:imagedata r:id="rId79" o:title=""/>
          </v:shape>
        </w:pict>
      </w:r>
    </w:p>
    <w:p>
      <w:pPr>
        <w:spacing w:line="0" w:lineRule="atLeast"/>
        <w:rPr>
          <w:rFonts w:ascii="Arial" w:eastAsiaTheme="minorEastAsia" w:hAnsiTheme="minorHAnsi" w:cstheme="minorBidi"/>
          <w:color w:val="FF0000"/>
          <w:sz w:val="2"/>
          <w:szCs w:val="22"/>
          <w:lang w:val="en-US" w:eastAsia="en-US" w:bidi="ar-SA"/>
        </w:rPr>
      </w:pPr>
      <w:bookmarkStart w:id="41" w:name="br1_40"/>
      <w:bookmarkEnd w:id="41"/>
      <w:r>
        <w:rPr>
          <w:rFonts w:ascii="Arial" w:eastAsiaTheme="minorEastAsia" w:hAnsiTheme="minorHAnsi" w:cstheme="minorBidi"/>
          <w:color w:val="FF0000"/>
          <w:sz w:val="2"/>
          <w:szCs w:val="22"/>
          <w:lang w:val="en-US" w:eastAsia="en-US" w:bidi="ar-SA"/>
        </w:rPr>
        <w:t xml:space="preserve"> </w:t>
      </w:r>
    </w:p>
    <w:p>
      <w:pPr>
        <w:framePr w:w="1730" w:x="7621"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2" w:x="7323" w:y="18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合并所有者权益变动表</w:t>
      </w:r>
    </w:p>
    <w:p>
      <w:pPr>
        <w:framePr w:w="1661" w:x="7655" w:y="22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4"/>
          <w:sz w:val="21"/>
          <w:szCs w:val="22"/>
          <w:lang w:val="en-US" w:eastAsia="en-US" w:bidi="ar-SA"/>
        </w:rPr>
        <w:t>6</w:t>
      </w:r>
      <w:r>
        <w:rPr>
          <w:rFonts w:ascii="SimSun" w:hAnsi="SimSun" w:eastAsiaTheme="minorEastAsia" w:cs="SimSun"/>
          <w:color w:val="000000"/>
          <w:sz w:val="21"/>
          <w:szCs w:val="22"/>
          <w:lang w:val="en-US" w:eastAsia="en-US" w:bidi="ar-SA"/>
        </w:rPr>
        <w:t>月</w:t>
      </w:r>
    </w:p>
    <w:p>
      <w:pPr>
        <w:framePr w:w="2342" w:x="13214" w:y="24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368" w:x="10108" w:y="277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2020</w:t>
      </w:r>
      <w:r>
        <w:rPr>
          <w:rFonts w:ascii="SimSun" w:hAnsi="SimSun" w:eastAsiaTheme="minorEastAsia" w:cs="SimSun"/>
          <w:color w:val="000000"/>
          <w:sz w:val="18"/>
          <w:szCs w:val="22"/>
          <w:lang w:val="en-US" w:eastAsia="en-US" w:bidi="ar-SA"/>
        </w:rPr>
        <w:t>年半年度</w:t>
      </w:r>
    </w:p>
    <w:p>
      <w:pPr>
        <w:framePr w:w="2220" w:x="7964" w:y="316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归属于母公司所有者权益</w:t>
      </w:r>
    </w:p>
    <w:p>
      <w:pPr>
        <w:framePr w:w="420" w:x="14613" w:y="330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少</w:t>
      </w:r>
    </w:p>
    <w:p>
      <w:pPr>
        <w:framePr w:w="420" w:x="14613" w:y="3307"/>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数</w:t>
      </w:r>
    </w:p>
    <w:p>
      <w:pPr>
        <w:framePr w:w="1140" w:x="5170" w:y="35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w:t>
      </w:r>
    </w:p>
    <w:p>
      <w:pPr>
        <w:framePr w:w="1140" w:x="5170" w:y="3571"/>
        <w:widowControl w:val="0"/>
        <w:autoSpaceDE w:val="0"/>
        <w:autoSpaceDN w:val="0"/>
        <w:spacing w:before="61" w:line="180" w:lineRule="exact"/>
        <w:ind w:left="361"/>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具</w:t>
      </w:r>
    </w:p>
    <w:p>
      <w:pPr>
        <w:framePr w:w="420" w:x="8084" w:y="35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8084" w:y="3571"/>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8084" w:y="35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w:t>
      </w:r>
    </w:p>
    <w:p>
      <w:pPr>
        <w:framePr w:w="420" w:x="8084" w:y="35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w:t>
      </w:r>
    </w:p>
    <w:p>
      <w:pPr>
        <w:framePr w:w="420" w:x="8084" w:y="35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w:t>
      </w:r>
    </w:p>
    <w:p>
      <w:pPr>
        <w:framePr w:w="420" w:x="8084" w:y="35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420" w:x="11058" w:y="35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w:t>
      </w:r>
    </w:p>
    <w:p>
      <w:pPr>
        <w:framePr w:w="420" w:x="11058" w:y="3571"/>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般</w:t>
      </w:r>
    </w:p>
    <w:p>
      <w:pPr>
        <w:framePr w:w="420" w:x="11058" w:y="357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风</w:t>
      </w:r>
    </w:p>
    <w:p>
      <w:pPr>
        <w:framePr w:w="420" w:x="7659" w:y="369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w:t>
      </w:r>
    </w:p>
    <w:p>
      <w:pPr>
        <w:framePr w:w="420" w:x="7659" w:y="3691"/>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w:t>
      </w:r>
    </w:p>
    <w:p>
      <w:pPr>
        <w:framePr w:w="420" w:x="7659" w:y="369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库</w:t>
      </w:r>
    </w:p>
    <w:p>
      <w:pPr>
        <w:framePr w:w="420" w:x="7659" w:y="369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w:t>
      </w:r>
    </w:p>
    <w:p>
      <w:pPr>
        <w:framePr w:w="420" w:x="7659" w:y="3691"/>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600" w:x="1824" w:y="37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420" w:x="14613" w:y="377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14613" w:y="377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东</w:t>
      </w:r>
    </w:p>
    <w:p>
      <w:pPr>
        <w:framePr w:w="420" w:x="14613" w:y="377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权</w:t>
      </w:r>
    </w:p>
    <w:p>
      <w:pPr>
        <w:framePr w:w="420" w:x="14613" w:y="3776"/>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1320" w:x="15081" w:y="377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w:t>
      </w:r>
    </w:p>
    <w:p>
      <w:pPr>
        <w:framePr w:w="1320" w:x="15081" w:y="3776"/>
        <w:widowControl w:val="0"/>
        <w:autoSpaceDE w:val="0"/>
        <w:autoSpaceDN w:val="0"/>
        <w:spacing w:before="53" w:line="180" w:lineRule="exact"/>
        <w:ind w:left="449"/>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计</w:t>
      </w:r>
    </w:p>
    <w:p>
      <w:pPr>
        <w:framePr w:w="1502" w:x="3572" w:y="405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eastAsiaTheme="minorEastAsia" w:hAnsiTheme="minorHAnsi" w:cstheme="minorBidi"/>
          <w:color w:val="000000"/>
          <w:spacing w:val="46"/>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502" w:x="3572" w:y="4052"/>
        <w:widowControl w:val="0"/>
        <w:autoSpaceDE w:val="0"/>
        <w:autoSpaceDN w:val="0"/>
        <w:spacing w:before="60" w:line="180" w:lineRule="exact"/>
        <w:ind w:left="494"/>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12760" w:y="405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12760" w:y="4050"/>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5103" w:y="417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5528" w:y="417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5528" w:y="4177"/>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5528" w:y="4177"/>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6536" w:y="417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960" w:x="8663" w:y="417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9937" w:y="417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1548" w:y="417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600" w:x="13596" w:y="41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420" w:x="5955" w:y="42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5955" w:y="4297"/>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11058" w:y="429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险</w:t>
      </w:r>
    </w:p>
    <w:p>
      <w:pPr>
        <w:framePr w:w="420" w:x="11058" w:y="4292"/>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p>
    <w:p>
      <w:pPr>
        <w:framePr w:w="420" w:x="11058" w:y="4292"/>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备</w:t>
      </w:r>
    </w:p>
    <w:p>
      <w:pPr>
        <w:framePr w:w="420" w:x="5103" w:y="441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5103" w:y="4417"/>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680" w:x="696" w:y="501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一、上年期末余额</w:t>
      </w:r>
    </w:p>
    <w:p>
      <w:pPr>
        <w:framePr w:w="1500" w:x="3612" w:y="50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232" w:x="6435" w:y="50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2" w:x="6435" w:y="5014"/>
        <w:widowControl w:val="0"/>
        <w:autoSpaceDE w:val="0"/>
        <w:autoSpaceDN w:val="0"/>
        <w:spacing w:before="53"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2507" w:x="8562" w:y="50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39,032,613.</w:t>
      </w:r>
      <w:r>
        <w:rPr>
          <w:rFonts w:ascii="SimSun" w:eastAsiaTheme="minorEastAsia" w:hAnsiTheme="minorHAnsi" w:cstheme="minorBidi"/>
          <w:color w:val="000000"/>
          <w:spacing w:val="19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56,544,285.</w:t>
      </w:r>
    </w:p>
    <w:p>
      <w:pPr>
        <w:framePr w:w="2507" w:x="8562" w:y="5014"/>
        <w:widowControl w:val="0"/>
        <w:autoSpaceDE w:val="0"/>
        <w:autoSpaceDN w:val="0"/>
        <w:spacing w:before="53"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89</w:t>
      </w:r>
      <w:r>
        <w:rPr>
          <w:rFonts w:ascii="SimSun" w:eastAsiaTheme="minorEastAsia" w:hAnsiTheme="minorHAnsi" w:cstheme="minorBidi"/>
          <w:color w:val="000000"/>
          <w:spacing w:val="1002"/>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69</w:t>
      </w:r>
    </w:p>
    <w:p>
      <w:pPr>
        <w:framePr w:w="1233" w:x="11536" w:y="50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904,577,918</w:t>
      </w:r>
    </w:p>
    <w:p>
      <w:pPr>
        <w:framePr w:w="1233" w:x="11536" w:y="5014"/>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.54</w:t>
      </w:r>
    </w:p>
    <w:p>
      <w:pPr>
        <w:framePr w:w="1412" w:x="13209" w:y="50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w:t>
      </w:r>
    </w:p>
    <w:p>
      <w:pPr>
        <w:framePr w:w="1412" w:x="13209" w:y="5014"/>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.70</w:t>
      </w:r>
    </w:p>
    <w:p>
      <w:pPr>
        <w:framePr w:w="1413" w:x="15045" w:y="50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w:t>
      </w:r>
    </w:p>
    <w:p>
      <w:pPr>
        <w:framePr w:w="1413" w:x="15045" w:y="5014"/>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.70</w:t>
      </w:r>
    </w:p>
    <w:p>
      <w:pPr>
        <w:framePr w:w="1740" w:x="696" w:y="549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740" w:x="696" w:y="5492"/>
        <w:widowControl w:val="0"/>
        <w:autoSpaceDE w:val="0"/>
        <w:autoSpaceDN w:val="0"/>
        <w:spacing w:before="62" w:line="180" w:lineRule="exact"/>
        <w:ind w:left="42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1860" w:x="1116" w:y="597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同一控制下企业合并</w:t>
      </w:r>
    </w:p>
    <w:p>
      <w:pPr>
        <w:framePr w:w="600" w:x="1116" w:y="622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1680" w:x="696" w:y="646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1500" w:x="3612" w:y="646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3612" w:y="6464"/>
        <w:widowControl w:val="0"/>
        <w:autoSpaceDE w:val="0"/>
        <w:autoSpaceDN w:val="0"/>
        <w:spacing w:before="298" w:line="180" w:lineRule="exact"/>
        <w:ind w:left="89"/>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232" w:x="6435" w:y="646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2" w:x="6435" w:y="6464"/>
        <w:widowControl w:val="0"/>
        <w:autoSpaceDE w:val="0"/>
        <w:autoSpaceDN w:val="0"/>
        <w:spacing w:before="55"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2506" w:x="8562" w:y="646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39,032,613.</w:t>
      </w:r>
      <w:r>
        <w:rPr>
          <w:rFonts w:ascii="SimSun" w:eastAsiaTheme="minorEastAsia" w:hAnsiTheme="minorHAnsi" w:cstheme="minorBidi"/>
          <w:color w:val="000000"/>
          <w:spacing w:val="19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56,544,285.</w:t>
      </w:r>
    </w:p>
    <w:p>
      <w:pPr>
        <w:framePr w:w="1231" w:x="11536" w:y="646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904,577,918</w:t>
      </w:r>
    </w:p>
    <w:p>
      <w:pPr>
        <w:framePr w:w="1412" w:x="13209" w:y="646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w:t>
      </w:r>
    </w:p>
    <w:p>
      <w:pPr>
        <w:framePr w:w="1412" w:x="13209" w:y="6464"/>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.70</w:t>
      </w:r>
    </w:p>
    <w:p>
      <w:pPr>
        <w:framePr w:w="1413" w:x="15045" w:y="646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1,557,176,380</w:t>
      </w:r>
    </w:p>
    <w:p>
      <w:pPr>
        <w:framePr w:w="1413" w:x="15045" w:y="6464"/>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.70</w:t>
      </w:r>
    </w:p>
    <w:p>
      <w:pPr>
        <w:framePr w:w="1233" w:x="8562" w:y="6700"/>
        <w:widowControl w:val="0"/>
        <w:autoSpaceDE w:val="0"/>
        <w:autoSpaceDN w:val="0"/>
        <w:spacing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89</w:t>
      </w:r>
    </w:p>
    <w:p>
      <w:pPr>
        <w:framePr w:w="1233" w:x="8562" w:y="6700"/>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4,459,215.4</w:t>
      </w:r>
    </w:p>
    <w:p>
      <w:pPr>
        <w:framePr w:w="1233" w:x="8562" w:y="6700"/>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w:t>
      </w:r>
    </w:p>
    <w:p>
      <w:pPr>
        <w:framePr w:w="421" w:x="10648" w:y="670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233" w:x="11536" w:y="6700"/>
        <w:widowControl w:val="0"/>
        <w:autoSpaceDE w:val="0"/>
        <w:autoSpaceDN w:val="0"/>
        <w:spacing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.54</w:t>
      </w:r>
    </w:p>
    <w:p>
      <w:pPr>
        <w:framePr w:w="1233" w:x="11536" w:y="6700"/>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62,255,090.</w:t>
      </w:r>
    </w:p>
    <w:p>
      <w:pPr>
        <w:framePr w:w="1233" w:x="11536" w:y="6700"/>
        <w:widowControl w:val="0"/>
        <w:autoSpaceDE w:val="0"/>
        <w:autoSpaceDN w:val="0"/>
        <w:spacing w:before="53"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47</w:t>
      </w:r>
    </w:p>
    <w:p>
      <w:pPr>
        <w:framePr w:w="2760" w:x="696" w:y="69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三、本期增减变动金额（减少以</w:t>
      </w:r>
    </w:p>
    <w:p>
      <w:pPr>
        <w:framePr w:w="2760" w:x="696" w:y="694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“－”号填列）</w:t>
      </w:r>
    </w:p>
    <w:p>
      <w:pPr>
        <w:framePr w:w="1232" w:x="6435" w:y="694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w:t>
      </w:r>
    </w:p>
    <w:p>
      <w:pPr>
        <w:framePr w:w="1232" w:x="6435" w:y="6942"/>
        <w:widowControl w:val="0"/>
        <w:autoSpaceDE w:val="0"/>
        <w:autoSpaceDN w:val="0"/>
        <w:spacing w:before="53"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1411" w:x="13209" w:y="694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66,714,305.92</w:t>
      </w:r>
    </w:p>
    <w:p>
      <w:pPr>
        <w:framePr w:w="1411" w:x="15045" w:y="694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66,714,305.92</w:t>
      </w:r>
    </w:p>
    <w:p>
      <w:pPr>
        <w:framePr w:w="1860" w:x="696" w:y="742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（一）综合收益总额</w:t>
      </w:r>
    </w:p>
    <w:p>
      <w:pPr>
        <w:framePr w:w="1233" w:x="11536" w:y="742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95,855,090.</w:t>
      </w:r>
    </w:p>
    <w:p>
      <w:pPr>
        <w:framePr w:w="1233" w:x="11536" w:y="7420"/>
        <w:widowControl w:val="0"/>
        <w:autoSpaceDE w:val="0"/>
        <w:autoSpaceDN w:val="0"/>
        <w:spacing w:before="53"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47</w:t>
      </w:r>
    </w:p>
    <w:p>
      <w:pPr>
        <w:framePr w:w="1411" w:x="13209" w:y="742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95,855,090.47</w:t>
      </w:r>
    </w:p>
    <w:p>
      <w:pPr>
        <w:framePr w:w="1411" w:x="15045" w:y="742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95,855,090.47</w:t>
      </w:r>
    </w:p>
    <w:p>
      <w:pPr>
        <w:framePr w:w="2851" w:x="696" w:y="789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（二）所有者投入和减少资本</w:t>
      </w:r>
    </w:p>
    <w:p>
      <w:pPr>
        <w:framePr w:w="2851" w:x="696" w:y="7895"/>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．所有者投入的普通股</w:t>
      </w:r>
    </w:p>
    <w:p>
      <w:pPr>
        <w:framePr w:w="2851" w:x="696" w:y="7895"/>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．其他权益工具持有者投入资本</w:t>
      </w:r>
    </w:p>
    <w:p>
      <w:pPr>
        <w:framePr w:w="2851" w:x="696" w:y="7895"/>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．股份支付计入所有者权益的金</w:t>
      </w:r>
    </w:p>
    <w:p>
      <w:pPr>
        <w:framePr w:w="2851" w:x="696" w:y="789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额</w:t>
      </w:r>
    </w:p>
    <w:p>
      <w:pPr>
        <w:framePr w:w="871" w:x="696" w:y="910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500" w:x="696" w:y="934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233" w:x="11536" w:y="934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w:t>
      </w:r>
    </w:p>
    <w:p>
      <w:pPr>
        <w:framePr w:w="1233" w:x="11536" w:y="9347"/>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1411" w:x="13209" w:y="934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w:t>
      </w:r>
    </w:p>
    <w:p>
      <w:pPr>
        <w:framePr w:w="1411" w:x="13209" w:y="9347"/>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w:t>
      </w:r>
    </w:p>
    <w:p>
      <w:pPr>
        <w:framePr w:w="1411" w:x="15045" w:y="934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w:t>
      </w:r>
    </w:p>
    <w:p>
      <w:pPr>
        <w:framePr w:w="1411" w:x="15045" w:y="9347"/>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w:t>
      </w:r>
    </w:p>
    <w:p>
      <w:pPr>
        <w:framePr w:w="1591" w:x="696" w:y="982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1951" w:x="696" w:y="100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．提取一般风险准备</w:t>
      </w:r>
    </w:p>
    <w:p>
      <w:pPr>
        <w:framePr w:w="847" w:x="8072"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13" type="#_x0000_t75" style="width:697.6pt;height:2.7pt;margin-top:53.9pt;margin-left:69.55pt;mso-position-horizontal-relative:page;mso-position-vertical-relative:page;position:absolute;z-index:-251476992">
            <v:imagedata r:id="rId80" o:title=""/>
          </v:shape>
        </w:pict>
      </w:r>
      <w:r>
        <w:rPr>
          <w:noProof/>
        </w:rPr>
        <w:pict>
          <v:shape id="_x0000_s1114" type="#_x0000_t75" style="width:789.45pt;height:379.85pt;margin-top:135.4pt;margin-left:28.15pt;mso-position-horizontal-relative:page;mso-position-vertical-relative:page;position:absolute;z-index:-251616256">
            <v:imagedata r:id="rId81" o:title=""/>
          </v:shape>
        </w:pict>
      </w:r>
    </w:p>
    <w:p>
      <w:pPr>
        <w:spacing w:line="0" w:lineRule="atLeast"/>
        <w:rPr>
          <w:rFonts w:ascii="Arial" w:eastAsiaTheme="minorEastAsia" w:hAnsiTheme="minorHAnsi" w:cstheme="minorBidi"/>
          <w:color w:val="FF0000"/>
          <w:sz w:val="2"/>
          <w:szCs w:val="22"/>
          <w:lang w:val="en-US" w:eastAsia="en-US" w:bidi="ar-SA"/>
        </w:rPr>
      </w:pPr>
      <w:bookmarkStart w:id="42" w:name="br1_41"/>
      <w:bookmarkEnd w:id="42"/>
      <w:r>
        <w:rPr>
          <w:rFonts w:ascii="Arial" w:eastAsiaTheme="minorEastAsia" w:hAnsiTheme="minorHAnsi" w:cstheme="minorBidi"/>
          <w:color w:val="FF0000"/>
          <w:sz w:val="2"/>
          <w:szCs w:val="22"/>
          <w:lang w:val="en-US" w:eastAsia="en-US" w:bidi="ar-SA"/>
        </w:rPr>
        <w:t xml:space="preserve"> </w:t>
      </w:r>
    </w:p>
    <w:p>
      <w:pPr>
        <w:framePr w:w="1730" w:x="7621"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671" w:x="696" w:y="182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．对所有者（或股东）的分配</w:t>
      </w:r>
    </w:p>
    <w:p>
      <w:pPr>
        <w:framePr w:w="1233" w:x="11536"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w:t>
      </w:r>
    </w:p>
    <w:p>
      <w:pPr>
        <w:framePr w:w="1233" w:x="11536" w:y="1827"/>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1411" w:x="13209"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w:t>
      </w:r>
    </w:p>
    <w:p>
      <w:pPr>
        <w:framePr w:w="1411" w:x="13209" w:y="1827"/>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w:t>
      </w:r>
    </w:p>
    <w:p>
      <w:pPr>
        <w:framePr w:w="1411" w:x="15045"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w:t>
      </w:r>
    </w:p>
    <w:p>
      <w:pPr>
        <w:framePr w:w="1411" w:x="15045" w:y="1827"/>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0</w:t>
      </w:r>
    </w:p>
    <w:p>
      <w:pPr>
        <w:framePr w:w="871" w:x="696" w:y="230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2400" w:x="696" w:y="254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（四）所有者权益内部结转</w:t>
      </w:r>
    </w:p>
    <w:p>
      <w:pPr>
        <w:framePr w:w="1411" w:x="3701" w:y="254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411" w:x="3701" w:y="2547"/>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232" w:x="6435" w:y="254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w:t>
      </w:r>
    </w:p>
    <w:p>
      <w:pPr>
        <w:framePr w:w="1232" w:x="6435" w:y="2547"/>
        <w:widowControl w:val="0"/>
        <w:autoSpaceDE w:val="0"/>
        <w:autoSpaceDN w:val="0"/>
        <w:spacing w:before="53"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2851" w:x="696" w:y="302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．资本公积转增资本（或股本）</w:t>
      </w:r>
    </w:p>
    <w:p>
      <w:pPr>
        <w:framePr w:w="1232" w:x="6435" w:y="302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w:t>
      </w:r>
    </w:p>
    <w:p>
      <w:pPr>
        <w:framePr w:w="1232" w:x="6435" w:y="3024"/>
        <w:widowControl w:val="0"/>
        <w:autoSpaceDE w:val="0"/>
        <w:autoSpaceDN w:val="0"/>
        <w:spacing w:before="53"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.00</w:t>
      </w:r>
    </w:p>
    <w:p>
      <w:pPr>
        <w:framePr w:w="2851" w:x="696" w:y="349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．盈余公积转增资本（或股本）</w:t>
      </w:r>
    </w:p>
    <w:p>
      <w:pPr>
        <w:framePr w:w="2851" w:x="696" w:y="3499"/>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．盈余公积弥补亏损</w:t>
      </w:r>
    </w:p>
    <w:p>
      <w:pPr>
        <w:framePr w:w="2851" w:x="696" w:y="3499"/>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．设定受益计划变动额结转留存</w:t>
      </w:r>
    </w:p>
    <w:p>
      <w:pPr>
        <w:framePr w:w="2851" w:x="696" w:y="3499"/>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收益</w:t>
      </w:r>
    </w:p>
    <w:p>
      <w:pPr>
        <w:framePr w:w="2671" w:x="696" w:y="446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．其他综合收益结转留存收益</w:t>
      </w:r>
    </w:p>
    <w:p>
      <w:pPr>
        <w:framePr w:w="2671" w:x="696" w:y="4465"/>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696" w:y="495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231" w:x="8562" w:y="495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4,459,215.4</w:t>
      </w:r>
    </w:p>
    <w:p>
      <w:pPr>
        <w:framePr w:w="1231" w:x="8562" w:y="4952"/>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w:t>
      </w:r>
    </w:p>
    <w:p>
      <w:pPr>
        <w:framePr w:w="1320" w:x="13300" w:y="495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4,459,215.45</w:t>
      </w:r>
    </w:p>
    <w:p>
      <w:pPr>
        <w:framePr w:w="1320" w:x="13300" w:y="4952"/>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8,009,774.21</w:t>
      </w:r>
    </w:p>
    <w:p>
      <w:pPr>
        <w:framePr w:w="1320" w:x="13300" w:y="4952"/>
        <w:widowControl w:val="0"/>
        <w:autoSpaceDE w:val="0"/>
        <w:autoSpaceDN w:val="0"/>
        <w:spacing w:before="29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3,550,558.76</w:t>
      </w:r>
    </w:p>
    <w:p>
      <w:pPr>
        <w:framePr w:w="1320" w:x="15136" w:y="495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4,459,215.45</w:t>
      </w:r>
    </w:p>
    <w:p>
      <w:pPr>
        <w:framePr w:w="1320" w:x="15136" w:y="4952"/>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8,009,774.21</w:t>
      </w:r>
    </w:p>
    <w:p>
      <w:pPr>
        <w:framePr w:w="1320" w:x="15136" w:y="4952"/>
        <w:widowControl w:val="0"/>
        <w:autoSpaceDE w:val="0"/>
        <w:autoSpaceDN w:val="0"/>
        <w:spacing w:before="29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3,550,558.76</w:t>
      </w:r>
    </w:p>
    <w:p>
      <w:pPr>
        <w:framePr w:w="1231" w:x="696" w:y="543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231" w:x="696" w:y="5430"/>
        <w:widowControl w:val="0"/>
        <w:autoSpaceDE w:val="0"/>
        <w:autoSpaceDN w:val="0"/>
        <w:spacing w:before="29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231" w:x="8562" w:y="543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8,009,774.2</w:t>
      </w:r>
    </w:p>
    <w:p>
      <w:pPr>
        <w:framePr w:w="1231" w:x="8562" w:y="5662"/>
        <w:widowControl w:val="0"/>
        <w:autoSpaceDE w:val="0"/>
        <w:autoSpaceDN w:val="0"/>
        <w:spacing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w:t>
      </w:r>
    </w:p>
    <w:p>
      <w:pPr>
        <w:framePr w:w="1231" w:x="8562" w:y="5662"/>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3,550,558.7</w:t>
      </w:r>
    </w:p>
    <w:p>
      <w:pPr>
        <w:framePr w:w="1231" w:x="8562" w:y="5662"/>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w:t>
      </w:r>
    </w:p>
    <w:p>
      <w:pPr>
        <w:framePr w:w="1140" w:x="696" w:y="638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680" w:x="696" w:y="662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3612" w:y="662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156,800,000.00</w:t>
      </w:r>
    </w:p>
    <w:p>
      <w:pPr>
        <w:framePr w:w="1232" w:x="6435" w:y="662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400,221,562</w:t>
      </w:r>
    </w:p>
    <w:p>
      <w:pPr>
        <w:framePr w:w="1232" w:x="6435" w:y="6625"/>
        <w:widowControl w:val="0"/>
        <w:autoSpaceDE w:val="0"/>
        <w:autoSpaceDN w:val="0"/>
        <w:spacing w:before="55"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2506" w:x="8562" w:y="662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43,491,829.</w:t>
      </w:r>
      <w:r>
        <w:rPr>
          <w:rFonts w:ascii="SimSun" w:eastAsiaTheme="minorEastAsia" w:hAnsiTheme="minorHAnsi" w:cstheme="minorBidi"/>
          <w:color w:val="000000"/>
          <w:spacing w:val="19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56,544,285.</w:t>
      </w:r>
    </w:p>
    <w:p>
      <w:pPr>
        <w:framePr w:w="1233" w:x="11536" w:y="662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966,833,009</w:t>
      </w:r>
    </w:p>
    <w:p>
      <w:pPr>
        <w:framePr w:w="1233" w:x="11536" w:y="6625"/>
        <w:widowControl w:val="0"/>
        <w:autoSpaceDE w:val="0"/>
        <w:autoSpaceDN w:val="0"/>
        <w:spacing w:before="55"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.01</w:t>
      </w:r>
    </w:p>
    <w:p>
      <w:pPr>
        <w:framePr w:w="1412" w:x="13209" w:y="662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1,623,890,686</w:t>
      </w:r>
    </w:p>
    <w:p>
      <w:pPr>
        <w:framePr w:w="1412" w:x="13209" w:y="6625"/>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.62</w:t>
      </w:r>
    </w:p>
    <w:p>
      <w:pPr>
        <w:framePr w:w="1413" w:x="15045" w:y="662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1,623,890,686</w:t>
      </w:r>
    </w:p>
    <w:p>
      <w:pPr>
        <w:framePr w:w="1413" w:x="15045" w:y="6625"/>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.62</w:t>
      </w:r>
    </w:p>
    <w:p>
      <w:pPr>
        <w:framePr w:w="421" w:x="9373" w:y="686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34</w:t>
      </w:r>
    </w:p>
    <w:p>
      <w:pPr>
        <w:framePr w:w="421" w:x="10648" w:y="6860"/>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69</w:t>
      </w:r>
    </w:p>
    <w:p>
      <w:pPr>
        <w:framePr w:w="1368" w:x="9364" w:y="739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2019</w:t>
      </w:r>
      <w:r>
        <w:rPr>
          <w:rFonts w:ascii="SimSun" w:hAnsi="SimSun" w:eastAsiaTheme="minorEastAsia" w:cs="SimSun"/>
          <w:color w:val="000000"/>
          <w:sz w:val="18"/>
          <w:szCs w:val="22"/>
          <w:lang w:val="en-US" w:eastAsia="en-US" w:bidi="ar-SA"/>
        </w:rPr>
        <w:t>年半年度</w:t>
      </w:r>
    </w:p>
    <w:p>
      <w:pPr>
        <w:framePr w:w="2220" w:x="7962" w:y="775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归属于母公司所有者权益</w:t>
      </w:r>
    </w:p>
    <w:p>
      <w:pPr>
        <w:framePr w:w="420" w:x="14608" w:y="789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少</w:t>
      </w:r>
    </w:p>
    <w:p>
      <w:pPr>
        <w:framePr w:w="420" w:x="14608" w:y="7895"/>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数</w:t>
      </w:r>
    </w:p>
    <w:p>
      <w:pPr>
        <w:framePr w:w="420" w:x="14608" w:y="789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14608" w:y="789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东</w:t>
      </w:r>
    </w:p>
    <w:p>
      <w:pPr>
        <w:framePr w:w="420" w:x="14608" w:y="789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权</w:t>
      </w:r>
    </w:p>
    <w:p>
      <w:pPr>
        <w:framePr w:w="420" w:x="14608" w:y="7895"/>
        <w:widowControl w:val="0"/>
        <w:autoSpaceDE w:val="0"/>
        <w:autoSpaceDN w:val="0"/>
        <w:spacing w:before="56"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1140" w:x="5172" w:y="81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w:t>
      </w:r>
    </w:p>
    <w:p>
      <w:pPr>
        <w:framePr w:w="1140" w:x="5172" w:y="8123"/>
        <w:widowControl w:val="0"/>
        <w:autoSpaceDE w:val="0"/>
        <w:autoSpaceDN w:val="0"/>
        <w:spacing w:before="60" w:line="180" w:lineRule="exact"/>
        <w:ind w:left="361"/>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具</w:t>
      </w:r>
    </w:p>
    <w:p>
      <w:pPr>
        <w:framePr w:w="420" w:x="8084" w:y="81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8084"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8084"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w:t>
      </w:r>
    </w:p>
    <w:p>
      <w:pPr>
        <w:framePr w:w="420" w:x="8084"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w:t>
      </w:r>
    </w:p>
    <w:p>
      <w:pPr>
        <w:framePr w:w="420" w:x="8084" w:y="8123"/>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w:t>
      </w:r>
    </w:p>
    <w:p>
      <w:pPr>
        <w:framePr w:w="420" w:x="8084"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益</w:t>
      </w:r>
    </w:p>
    <w:p>
      <w:pPr>
        <w:framePr w:w="420" w:x="11061" w:y="81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w:t>
      </w:r>
    </w:p>
    <w:p>
      <w:pPr>
        <w:framePr w:w="420" w:x="11061"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般</w:t>
      </w:r>
    </w:p>
    <w:p>
      <w:pPr>
        <w:framePr w:w="420" w:x="11061"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风</w:t>
      </w:r>
    </w:p>
    <w:p>
      <w:pPr>
        <w:framePr w:w="420" w:x="11061"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险</w:t>
      </w:r>
    </w:p>
    <w:p>
      <w:pPr>
        <w:framePr w:w="420" w:x="11061" w:y="8123"/>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p>
    <w:p>
      <w:pPr>
        <w:framePr w:w="420" w:x="11061" w:y="812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备</w:t>
      </w:r>
    </w:p>
    <w:p>
      <w:pPr>
        <w:framePr w:w="420" w:x="7659" w:y="824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w:t>
      </w:r>
    </w:p>
    <w:p>
      <w:pPr>
        <w:framePr w:w="420" w:x="7659" w:y="824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w:t>
      </w:r>
    </w:p>
    <w:p>
      <w:pPr>
        <w:framePr w:w="420" w:x="7659" w:y="824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库</w:t>
      </w:r>
    </w:p>
    <w:p>
      <w:pPr>
        <w:framePr w:w="420" w:x="7659" w:y="8243"/>
        <w:widowControl w:val="0"/>
        <w:autoSpaceDE w:val="0"/>
        <w:autoSpaceDN w:val="0"/>
        <w:spacing w:before="61"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w:t>
      </w:r>
    </w:p>
    <w:p>
      <w:pPr>
        <w:framePr w:w="420" w:x="7659" w:y="8243"/>
        <w:widowControl w:val="0"/>
        <w:autoSpaceDE w:val="0"/>
        <w:autoSpaceDN w:val="0"/>
        <w:spacing w:before="6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600" w:x="1824" w:y="835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1320" w:x="15079" w:y="836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w:t>
      </w:r>
    </w:p>
    <w:p>
      <w:pPr>
        <w:framePr w:w="1320" w:x="15079" w:y="8363"/>
        <w:widowControl w:val="0"/>
        <w:autoSpaceDE w:val="0"/>
        <w:autoSpaceDN w:val="0"/>
        <w:spacing w:before="53" w:line="180" w:lineRule="exact"/>
        <w:ind w:left="451"/>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计</w:t>
      </w:r>
    </w:p>
    <w:p>
      <w:pPr>
        <w:framePr w:w="1411" w:x="3617" w:y="860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411" w:x="3617" w:y="8603"/>
        <w:widowControl w:val="0"/>
        <w:autoSpaceDE w:val="0"/>
        <w:autoSpaceDN w:val="0"/>
        <w:spacing w:before="60" w:line="180" w:lineRule="exact"/>
        <w:ind w:left="449"/>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12763" w:y="860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12763" w:y="8603"/>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5105" w:y="873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5531" w:y="873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5531" w:y="873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5531" w:y="8732"/>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6539" w:y="87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960" w:x="8663" w:y="87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9937" w:y="87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1553" w:y="872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600" w:x="13593" w:y="872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420" w:x="5960" w:y="884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5960" w:y="8848"/>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5105" w:y="896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5105" w:y="896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680" w:x="696" w:y="956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一、上年期末余额</w:t>
      </w:r>
    </w:p>
    <w:p>
      <w:pPr>
        <w:framePr w:w="1680" w:x="696" w:y="9566"/>
        <w:widowControl w:val="0"/>
        <w:autoSpaceDE w:val="0"/>
        <w:autoSpaceDN w:val="0"/>
        <w:spacing w:before="298"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500" w:x="3615" w:y="95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232" w:x="6438" w:y="95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2" w:x="6438" w:y="9566"/>
        <w:widowControl w:val="0"/>
        <w:autoSpaceDE w:val="0"/>
        <w:autoSpaceDN w:val="0"/>
        <w:spacing w:before="55"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2507" w:x="8562" w:y="95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43,730,860.</w:t>
      </w:r>
      <w:r>
        <w:rPr>
          <w:rFonts w:ascii="SimSun" w:eastAsiaTheme="minorEastAsia" w:hAnsiTheme="minorHAnsi" w:cstheme="minorBidi"/>
          <w:color w:val="000000"/>
          <w:spacing w:val="19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56,544,285.</w:t>
      </w:r>
    </w:p>
    <w:p>
      <w:pPr>
        <w:framePr w:w="2507" w:x="8562" w:y="9566"/>
        <w:widowControl w:val="0"/>
        <w:autoSpaceDE w:val="0"/>
        <w:autoSpaceDN w:val="0"/>
        <w:spacing w:before="55"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16</w:t>
      </w:r>
      <w:r>
        <w:rPr>
          <w:rFonts w:ascii="SimSun" w:eastAsiaTheme="minorEastAsia" w:hAnsiTheme="minorHAnsi" w:cstheme="minorBidi"/>
          <w:color w:val="000000"/>
          <w:spacing w:val="1002"/>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69</w:t>
      </w:r>
    </w:p>
    <w:p>
      <w:pPr>
        <w:framePr w:w="1233" w:x="11541" w:y="95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699,959,577</w:t>
      </w:r>
    </w:p>
    <w:p>
      <w:pPr>
        <w:framePr w:w="1233" w:x="11541" w:y="9566"/>
        <w:widowControl w:val="0"/>
        <w:autoSpaceDE w:val="0"/>
        <w:autoSpaceDN w:val="0"/>
        <w:spacing w:before="55"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.53</w:t>
      </w:r>
    </w:p>
    <w:p>
      <w:pPr>
        <w:framePr w:w="1412" w:x="13204" w:y="95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w:t>
      </w:r>
    </w:p>
    <w:p>
      <w:pPr>
        <w:framePr w:w="1412" w:x="13204" w:y="9566"/>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.96</w:t>
      </w:r>
    </w:p>
    <w:p>
      <w:pPr>
        <w:framePr w:w="1413" w:x="15048" w:y="95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w:t>
      </w:r>
    </w:p>
    <w:p>
      <w:pPr>
        <w:framePr w:w="1413" w:x="15048" w:y="9566"/>
        <w:widowControl w:val="0"/>
        <w:autoSpaceDE w:val="0"/>
        <w:autoSpaceDN w:val="0"/>
        <w:spacing w:before="55"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.96</w:t>
      </w:r>
    </w:p>
    <w:p>
      <w:pPr>
        <w:framePr w:w="847" w:x="8072"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15" type="#_x0000_t75" style="width:697.6pt;height:2.7pt;margin-top:53.9pt;margin-left:69.55pt;mso-position-horizontal-relative:page;mso-position-vertical-relative:page;position:absolute;z-index:-251390976">
            <v:imagedata r:id="rId82" o:title=""/>
          </v:shape>
        </w:pict>
      </w:r>
      <w:r>
        <w:rPr>
          <w:noProof/>
        </w:rPr>
        <w:pict>
          <v:shape id="_x0000_s1116" type="#_x0000_t75" style="width:789.45pt;height:266.3pt;margin-top:88.6pt;margin-left:28.15pt;mso-position-horizontal-relative:page;mso-position-vertical-relative:page;position:absolute;z-index:-251475968">
            <v:imagedata r:id="rId83" o:title=""/>
          </v:shape>
        </w:pict>
      </w:r>
      <w:r>
        <w:rPr>
          <w:noProof/>
        </w:rPr>
        <w:pict>
          <v:shape id="_x0000_s1117" type="#_x0000_t75" style="width:789.45pt;height:147.6pt;margin-top:366.55pt;margin-left:28.15pt;mso-position-horizontal-relative:page;mso-position-vertical-relative:page;position:absolute;z-index:-251615232">
            <v:imagedata r:id="rId84" o:title=""/>
          </v:shape>
        </w:pict>
      </w:r>
    </w:p>
    <w:p>
      <w:pPr>
        <w:spacing w:line="0" w:lineRule="atLeast"/>
        <w:rPr>
          <w:rFonts w:ascii="Arial" w:eastAsiaTheme="minorEastAsia" w:hAnsiTheme="minorHAnsi" w:cstheme="minorBidi"/>
          <w:color w:val="FF0000"/>
          <w:sz w:val="2"/>
          <w:szCs w:val="22"/>
          <w:lang w:val="en-US" w:eastAsia="en-US" w:bidi="ar-SA"/>
        </w:rPr>
      </w:pPr>
      <w:bookmarkStart w:id="43" w:name="br1_42"/>
      <w:bookmarkEnd w:id="43"/>
      <w:r>
        <w:rPr>
          <w:rFonts w:ascii="Arial" w:eastAsiaTheme="minorEastAsia" w:hAnsiTheme="minorHAnsi" w:cstheme="minorBidi"/>
          <w:color w:val="FF0000"/>
          <w:sz w:val="2"/>
          <w:szCs w:val="22"/>
          <w:lang w:val="en-US" w:eastAsia="en-US" w:bidi="ar-SA"/>
        </w:rPr>
        <w:t xml:space="preserve"> </w:t>
      </w:r>
    </w:p>
    <w:p>
      <w:pPr>
        <w:framePr w:w="1730" w:x="7621"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60" w:x="1116" w:y="182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1860" w:x="1116" w:y="1827"/>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同一控制下企业合并</w:t>
      </w:r>
    </w:p>
    <w:p>
      <w:pPr>
        <w:framePr w:w="1860" w:x="1116" w:y="1827"/>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1680" w:x="696" w:y="255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1500" w:x="3615" w:y="25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232" w:x="6438" w:y="25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2" w:x="6438" w:y="2556"/>
        <w:widowControl w:val="0"/>
        <w:autoSpaceDE w:val="0"/>
        <w:autoSpaceDN w:val="0"/>
        <w:spacing w:before="53"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2507" w:x="8562" w:y="25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43,730,860.</w:t>
      </w:r>
      <w:r>
        <w:rPr>
          <w:rFonts w:ascii="SimSun" w:eastAsiaTheme="minorEastAsia" w:hAnsiTheme="minorHAnsi" w:cstheme="minorBidi"/>
          <w:color w:val="000000"/>
          <w:spacing w:val="19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56,544,285.</w:t>
      </w:r>
    </w:p>
    <w:p>
      <w:pPr>
        <w:framePr w:w="2507" w:x="8562" w:y="2556"/>
        <w:widowControl w:val="0"/>
        <w:autoSpaceDE w:val="0"/>
        <w:autoSpaceDN w:val="0"/>
        <w:spacing w:before="53"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16</w:t>
      </w:r>
      <w:r>
        <w:rPr>
          <w:rFonts w:ascii="SimSun" w:eastAsiaTheme="minorEastAsia" w:hAnsiTheme="minorHAnsi" w:cstheme="minorBidi"/>
          <w:color w:val="000000"/>
          <w:spacing w:val="1002"/>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69</w:t>
      </w:r>
    </w:p>
    <w:p>
      <w:pPr>
        <w:framePr w:w="1233" w:x="11541" w:y="25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699,959,577</w:t>
      </w:r>
    </w:p>
    <w:p>
      <w:pPr>
        <w:framePr w:w="1233" w:x="11541" w:y="2556"/>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.53</w:t>
      </w:r>
    </w:p>
    <w:p>
      <w:pPr>
        <w:framePr w:w="1412" w:x="13204" w:y="25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w:t>
      </w:r>
    </w:p>
    <w:p>
      <w:pPr>
        <w:framePr w:w="1412" w:x="13204" w:y="2556"/>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.96</w:t>
      </w:r>
    </w:p>
    <w:p>
      <w:pPr>
        <w:framePr w:w="1413" w:x="15048" w:y="255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1,357,256,285</w:t>
      </w:r>
    </w:p>
    <w:p>
      <w:pPr>
        <w:framePr w:w="1413" w:x="15048" w:y="2556"/>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.96</w:t>
      </w:r>
    </w:p>
    <w:p>
      <w:pPr>
        <w:framePr w:w="2760" w:x="696" w:y="303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三、本期增减变动金额（减少以</w:t>
      </w:r>
    </w:p>
    <w:p>
      <w:pPr>
        <w:framePr w:w="2760" w:x="696" w:y="303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“－”号填列）</w:t>
      </w:r>
    </w:p>
    <w:p>
      <w:pPr>
        <w:framePr w:w="1231" w:x="8562" w:y="303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2,503,978.5</w:t>
      </w:r>
    </w:p>
    <w:p>
      <w:pPr>
        <w:framePr w:w="1231" w:x="8562" w:y="3034"/>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w:t>
      </w:r>
    </w:p>
    <w:p>
      <w:pPr>
        <w:framePr w:w="1233" w:x="11541" w:y="303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127,105,343</w:t>
      </w:r>
    </w:p>
    <w:p>
      <w:pPr>
        <w:framePr w:w="1233" w:x="11541" w:y="3034"/>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.83</w:t>
      </w:r>
    </w:p>
    <w:p>
      <w:pPr>
        <w:framePr w:w="1411" w:x="13204" w:y="303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129,609,322.3</w:t>
      </w:r>
    </w:p>
    <w:p>
      <w:pPr>
        <w:framePr w:w="1411" w:x="15048" w:y="303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129,609,322.3</w:t>
      </w:r>
    </w:p>
    <w:p>
      <w:pPr>
        <w:framePr w:w="1411" w:x="13204" w:y="3267"/>
        <w:widowControl w:val="0"/>
        <w:autoSpaceDE w:val="0"/>
        <w:autoSpaceDN w:val="0"/>
        <w:spacing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w:t>
      </w:r>
    </w:p>
    <w:p>
      <w:pPr>
        <w:framePr w:w="1411" w:x="13204" w:y="3267"/>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127,105,343.8</w:t>
      </w:r>
    </w:p>
    <w:p>
      <w:pPr>
        <w:framePr w:w="1411" w:x="13204" w:y="3267"/>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w:t>
      </w:r>
    </w:p>
    <w:p>
      <w:pPr>
        <w:framePr w:w="1411" w:x="15048" w:y="3267"/>
        <w:widowControl w:val="0"/>
        <w:autoSpaceDE w:val="0"/>
        <w:autoSpaceDN w:val="0"/>
        <w:spacing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w:t>
      </w:r>
    </w:p>
    <w:p>
      <w:pPr>
        <w:framePr w:w="1411" w:x="15048" w:y="3267"/>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127,105,343.8</w:t>
      </w:r>
    </w:p>
    <w:p>
      <w:pPr>
        <w:framePr w:w="1411" w:x="15048" w:y="3267"/>
        <w:widowControl w:val="0"/>
        <w:autoSpaceDE w:val="0"/>
        <w:autoSpaceDN w:val="0"/>
        <w:spacing w:before="53" w:line="180" w:lineRule="exact"/>
        <w:ind w:left="10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w:t>
      </w:r>
    </w:p>
    <w:p>
      <w:pPr>
        <w:framePr w:w="1860" w:x="696" w:y="351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（一）综合收益总额</w:t>
      </w:r>
    </w:p>
    <w:p>
      <w:pPr>
        <w:framePr w:w="1233" w:x="11541" w:y="351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127,105,343</w:t>
      </w:r>
    </w:p>
    <w:p>
      <w:pPr>
        <w:framePr w:w="1233" w:x="11541" w:y="3511"/>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.83</w:t>
      </w:r>
    </w:p>
    <w:p>
      <w:pPr>
        <w:framePr w:w="2851" w:x="696" w:y="398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（二）所有者投入和减少资本</w:t>
      </w:r>
    </w:p>
    <w:p>
      <w:pPr>
        <w:framePr w:w="2851" w:x="696" w:y="3987"/>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．所有者投入的普通股</w:t>
      </w:r>
    </w:p>
    <w:p>
      <w:pPr>
        <w:framePr w:w="2851" w:x="696" w:y="3987"/>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．其他权益工具持有者投入资本</w:t>
      </w:r>
    </w:p>
    <w:p>
      <w:pPr>
        <w:framePr w:w="2851" w:x="696" w:y="3987"/>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．股份支付计入所有者权益的金</w:t>
      </w:r>
    </w:p>
    <w:p>
      <w:pPr>
        <w:framePr w:w="2851" w:x="696" w:y="398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额</w:t>
      </w:r>
    </w:p>
    <w:p>
      <w:pPr>
        <w:framePr w:w="871" w:x="696" w:y="519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500" w:x="696" w:y="543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591" w:x="696" w:y="568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2671" w:x="696" w:y="59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．提取一般风险准备</w:t>
      </w:r>
    </w:p>
    <w:p>
      <w:pPr>
        <w:framePr w:w="2671" w:x="696" w:y="5926"/>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．对所有者（或股东）的分配</w:t>
      </w:r>
    </w:p>
    <w:p>
      <w:pPr>
        <w:framePr w:w="2671" w:x="696" w:y="5926"/>
        <w:widowControl w:val="0"/>
        <w:autoSpaceDE w:val="0"/>
        <w:autoSpaceDN w:val="0"/>
        <w:spacing w:before="63"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2851" w:x="696" w:y="665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（四）所有者权益内部结转</w:t>
      </w:r>
    </w:p>
    <w:p>
      <w:pPr>
        <w:framePr w:w="2851" w:x="696" w:y="6656"/>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．资本公积转增资本（或股本）</w:t>
      </w:r>
    </w:p>
    <w:p>
      <w:pPr>
        <w:framePr w:w="2851" w:x="696" w:y="6656"/>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．盈余公积转增资本（或股本）</w:t>
      </w:r>
    </w:p>
    <w:p>
      <w:pPr>
        <w:framePr w:w="2851" w:x="696" w:y="6656"/>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．盈余公积弥补亏损</w:t>
      </w:r>
    </w:p>
    <w:p>
      <w:pPr>
        <w:framePr w:w="2851" w:x="696" w:y="6656"/>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．设定受益计划变动额结转留存</w:t>
      </w:r>
    </w:p>
    <w:p>
      <w:pPr>
        <w:framePr w:w="2851" w:x="696" w:y="665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收益</w:t>
      </w:r>
    </w:p>
    <w:p>
      <w:pPr>
        <w:framePr w:w="2671" w:x="696" w:y="810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．其他综合收益结转留存收益</w:t>
      </w:r>
    </w:p>
    <w:p>
      <w:pPr>
        <w:framePr w:w="2671" w:x="696" w:y="8106"/>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696" w:y="859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231" w:x="8562" w:y="85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2,503,978.5</w:t>
      </w:r>
    </w:p>
    <w:p>
      <w:pPr>
        <w:framePr w:w="1231" w:x="8562" w:y="8593"/>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w:t>
      </w:r>
    </w:p>
    <w:p>
      <w:pPr>
        <w:framePr w:w="1320" w:x="13296" w:y="85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2,503,978.55</w:t>
      </w:r>
    </w:p>
    <w:p>
      <w:pPr>
        <w:framePr w:w="1320" w:x="13296" w:y="8593"/>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6,854,813.63</w:t>
      </w:r>
    </w:p>
    <w:p>
      <w:pPr>
        <w:framePr w:w="1320" w:x="13296" w:y="8593"/>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4,350,835.08</w:t>
      </w:r>
    </w:p>
    <w:p>
      <w:pPr>
        <w:framePr w:w="1320" w:x="15139" w:y="85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2,503,978.55</w:t>
      </w:r>
    </w:p>
    <w:p>
      <w:pPr>
        <w:framePr w:w="1320" w:x="15139" w:y="8593"/>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6,854,813.63</w:t>
      </w:r>
    </w:p>
    <w:p>
      <w:pPr>
        <w:framePr w:w="1320" w:x="15139" w:y="8593"/>
        <w:widowControl w:val="0"/>
        <w:autoSpaceDE w:val="0"/>
        <w:autoSpaceDN w:val="0"/>
        <w:spacing w:before="29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4,350,835.08</w:t>
      </w:r>
    </w:p>
    <w:p>
      <w:pPr>
        <w:framePr w:w="1231" w:x="696" w:y="907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231" w:x="696" w:y="9071"/>
        <w:widowControl w:val="0"/>
        <w:autoSpaceDE w:val="0"/>
        <w:autoSpaceDN w:val="0"/>
        <w:spacing w:before="298"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231" w:x="696" w:y="9071"/>
        <w:widowControl w:val="0"/>
        <w:autoSpaceDE w:val="0"/>
        <w:autoSpaceDN w:val="0"/>
        <w:spacing w:before="29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231" w:x="8562" w:y="907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6,854,813.6</w:t>
      </w:r>
    </w:p>
    <w:p>
      <w:pPr>
        <w:framePr w:w="1231" w:x="8562" w:y="9304"/>
        <w:widowControl w:val="0"/>
        <w:autoSpaceDE w:val="0"/>
        <w:autoSpaceDN w:val="0"/>
        <w:spacing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w:t>
      </w:r>
    </w:p>
    <w:p>
      <w:pPr>
        <w:framePr w:w="1231" w:x="8562" w:y="9304"/>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4,350,835.0</w:t>
      </w:r>
    </w:p>
    <w:p>
      <w:pPr>
        <w:framePr w:w="1231" w:x="8562" w:y="9304"/>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w:t>
      </w:r>
    </w:p>
    <w:p>
      <w:pPr>
        <w:framePr w:w="847" w:x="8072"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18" type="#_x0000_t75" style="width:697.6pt;height:2.7pt;margin-top:53.9pt;margin-left:69.55pt;mso-position-horizontal-relative:page;mso-position-vertical-relative:page;position:absolute;z-index:-251474944">
            <v:imagedata r:id="rId85" o:title=""/>
          </v:shape>
        </w:pict>
      </w:r>
      <w:r>
        <w:rPr>
          <w:noProof/>
        </w:rPr>
        <w:pict>
          <v:shape id="_x0000_s1119" type="#_x0000_t75" style="width:789.45pt;height:424.6pt;margin-top:88.6pt;margin-left:28.15pt;mso-position-horizontal-relative:page;mso-position-vertical-relative:page;position:absolute;z-index:-251614208">
            <v:imagedata r:id="rId86" o:title=""/>
          </v:shape>
        </w:pict>
      </w:r>
    </w:p>
    <w:p>
      <w:pPr>
        <w:spacing w:line="0" w:lineRule="atLeast"/>
        <w:rPr>
          <w:rFonts w:ascii="Arial" w:eastAsiaTheme="minorEastAsia" w:hAnsiTheme="minorHAnsi" w:cstheme="minorBidi"/>
          <w:color w:val="FF0000"/>
          <w:sz w:val="2"/>
          <w:szCs w:val="22"/>
          <w:lang w:val="en-US" w:eastAsia="en-US" w:bidi="ar-SA"/>
        </w:rPr>
      </w:pPr>
      <w:bookmarkStart w:id="44" w:name="br1_43"/>
      <w:bookmarkEnd w:id="44"/>
      <w:r>
        <w:rPr>
          <w:rFonts w:ascii="Arial" w:eastAsiaTheme="minorEastAsia" w:hAnsiTheme="minorHAnsi" w:cstheme="minorBidi"/>
          <w:color w:val="FF0000"/>
          <w:sz w:val="2"/>
          <w:szCs w:val="22"/>
          <w:lang w:val="en-US" w:eastAsia="en-US" w:bidi="ar-SA"/>
        </w:rPr>
        <w:t xml:space="preserve"> </w:t>
      </w:r>
    </w:p>
    <w:p>
      <w:pPr>
        <w:framePr w:w="1730" w:x="7621"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680" w:x="696" w:y="182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3615"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232" w:x="6438"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445,021,562</w:t>
      </w:r>
    </w:p>
    <w:p>
      <w:pPr>
        <w:framePr w:w="1232" w:x="6438" w:y="1827"/>
        <w:widowControl w:val="0"/>
        <w:autoSpaceDE w:val="0"/>
        <w:autoSpaceDN w:val="0"/>
        <w:spacing w:before="53" w:line="180" w:lineRule="exact"/>
        <w:ind w:left="72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.58</w:t>
      </w:r>
    </w:p>
    <w:p>
      <w:pPr>
        <w:framePr w:w="2507" w:x="8562"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46,234,838.</w:t>
      </w:r>
      <w:r>
        <w:rPr>
          <w:rFonts w:ascii="SimSun" w:eastAsiaTheme="minorEastAsia" w:hAnsiTheme="minorHAnsi" w:cstheme="minorBidi"/>
          <w:color w:val="000000"/>
          <w:spacing w:val="19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56,544,285.</w:t>
      </w:r>
    </w:p>
    <w:p>
      <w:pPr>
        <w:framePr w:w="2507" w:x="8562" w:y="1827"/>
        <w:widowControl w:val="0"/>
        <w:autoSpaceDE w:val="0"/>
        <w:autoSpaceDN w:val="0"/>
        <w:spacing w:before="53" w:line="180" w:lineRule="exact"/>
        <w:ind w:left="812"/>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71</w:t>
      </w:r>
      <w:r>
        <w:rPr>
          <w:rFonts w:ascii="SimSun" w:eastAsiaTheme="minorEastAsia" w:hAnsiTheme="minorHAnsi" w:cstheme="minorBidi"/>
          <w:color w:val="000000"/>
          <w:spacing w:val="1002"/>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69</w:t>
      </w:r>
    </w:p>
    <w:p>
      <w:pPr>
        <w:framePr w:w="1233" w:x="11541"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827,064,921</w:t>
      </w:r>
    </w:p>
    <w:p>
      <w:pPr>
        <w:framePr w:w="1233" w:x="11541" w:y="1827"/>
        <w:widowControl w:val="0"/>
        <w:autoSpaceDE w:val="0"/>
        <w:autoSpaceDN w:val="0"/>
        <w:spacing w:before="53" w:line="180" w:lineRule="exact"/>
        <w:ind w:left="72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.36</w:t>
      </w:r>
    </w:p>
    <w:p>
      <w:pPr>
        <w:framePr w:w="1412" w:x="13204"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1,486,865,608</w:t>
      </w:r>
    </w:p>
    <w:p>
      <w:pPr>
        <w:framePr w:w="1412" w:x="13204" w:y="1827"/>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.34</w:t>
      </w:r>
    </w:p>
    <w:p>
      <w:pPr>
        <w:framePr w:w="1413" w:x="15048"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1,486,865,608</w:t>
      </w:r>
    </w:p>
    <w:p>
      <w:pPr>
        <w:framePr w:w="1413" w:x="15048" w:y="1827"/>
        <w:widowControl w:val="0"/>
        <w:autoSpaceDE w:val="0"/>
        <w:autoSpaceDN w:val="0"/>
        <w:spacing w:before="53" w:line="180" w:lineRule="exact"/>
        <w:ind w:left="90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.34</w:t>
      </w:r>
    </w:p>
    <w:p>
      <w:pPr>
        <w:framePr w:w="2141" w:x="1440"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6270"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12362" w:y="2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2563" w:x="7218" w:y="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母公司所有者权益变动表</w:t>
      </w:r>
    </w:p>
    <w:p>
      <w:pPr>
        <w:framePr w:w="1661" w:x="7655" w:y="37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54"/>
          <w:sz w:val="21"/>
          <w:szCs w:val="22"/>
          <w:lang w:val="en-US" w:eastAsia="en-US" w:bidi="ar-SA"/>
        </w:rPr>
        <w:t>6</w:t>
      </w:r>
      <w:r>
        <w:rPr>
          <w:rFonts w:ascii="SimSun" w:hAnsi="SimSun" w:eastAsiaTheme="minorEastAsia" w:cs="SimSun"/>
          <w:color w:val="000000"/>
          <w:sz w:val="21"/>
          <w:szCs w:val="22"/>
          <w:lang w:val="en-US" w:eastAsia="en-US" w:bidi="ar-SA"/>
        </w:rPr>
        <w:t>月</w:t>
      </w:r>
    </w:p>
    <w:p>
      <w:pPr>
        <w:framePr w:w="2342" w:x="13214" w:y="4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368" w:x="9357" w:y="434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2020</w:t>
      </w:r>
      <w:r>
        <w:rPr>
          <w:rFonts w:ascii="SimSun" w:hAnsi="SimSun" w:eastAsiaTheme="minorEastAsia" w:cs="SimSun"/>
          <w:color w:val="000000"/>
          <w:sz w:val="18"/>
          <w:szCs w:val="22"/>
          <w:lang w:val="en-US" w:eastAsia="en-US" w:bidi="ar-SA"/>
        </w:rPr>
        <w:t>年半年度</w:t>
      </w:r>
    </w:p>
    <w:p>
      <w:pPr>
        <w:framePr w:w="1320" w:x="5579" w:y="46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其他权益工具</w:t>
      </w:r>
    </w:p>
    <w:p>
      <w:pPr>
        <w:framePr w:w="600" w:x="8495" w:y="4630"/>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w:t>
      </w:r>
    </w:p>
    <w:p>
      <w:pPr>
        <w:framePr w:w="600" w:x="8495" w:y="4630"/>
        <w:widowControl w:val="0"/>
        <w:autoSpaceDE w:val="0"/>
        <w:autoSpaceDN w:val="0"/>
        <w:spacing w:before="53" w:line="180" w:lineRule="exact"/>
        <w:ind w:left="8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库</w:t>
      </w:r>
    </w:p>
    <w:p>
      <w:pPr>
        <w:framePr w:w="600" w:x="9126" w:y="47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600" w:x="9126" w:y="4746"/>
        <w:widowControl w:val="0"/>
        <w:autoSpaceDE w:val="0"/>
        <w:autoSpaceDN w:val="0"/>
        <w:spacing w:before="55"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综合</w:t>
      </w:r>
    </w:p>
    <w:p>
      <w:pPr>
        <w:framePr w:w="600" w:x="9126" w:y="474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收益</w:t>
      </w:r>
    </w:p>
    <w:p>
      <w:pPr>
        <w:framePr w:w="600" w:x="2316" w:y="485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1502" w:x="3989" w:y="486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eastAsiaTheme="minorEastAsia" w:hAnsiTheme="minorHAnsi" w:cstheme="minorBidi"/>
          <w:color w:val="000000"/>
          <w:spacing w:val="46"/>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502" w:x="3989" w:y="4863"/>
        <w:widowControl w:val="0"/>
        <w:autoSpaceDE w:val="0"/>
        <w:autoSpaceDN w:val="0"/>
        <w:spacing w:before="53" w:line="180" w:lineRule="exact"/>
        <w:ind w:left="494"/>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5603" w:y="49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5603" w:y="490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5603" w:y="490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6099" w:y="49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6099" w:y="490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6099" w:y="4909"/>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7249" w:y="49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960" w:x="10012" w:y="49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11428" w:y="49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2828" w:y="49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1500" w:x="14349" w:y="49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所有者权益合计</w:t>
      </w:r>
    </w:p>
    <w:p>
      <w:pPr>
        <w:framePr w:w="420" w:x="6527" w:y="50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6527" w:y="502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8579" w:y="509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w:t>
      </w:r>
    </w:p>
    <w:p>
      <w:pPr>
        <w:framePr w:w="420" w:x="8579" w:y="509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740" w:x="1265" w:y="561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一、上年期末余额</w:t>
      </w:r>
    </w:p>
    <w:p>
      <w:pPr>
        <w:framePr w:w="1740" w:x="1265" w:y="5619"/>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740" w:x="1265" w:y="5619"/>
        <w:widowControl w:val="0"/>
        <w:autoSpaceDE w:val="0"/>
        <w:autoSpaceDN w:val="0"/>
        <w:spacing w:before="65" w:line="180" w:lineRule="exact"/>
        <w:ind w:left="42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1500" w:x="4040" w:y="5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021" w:y="5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830" w:x="9801" w:y="5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31,262,063.52</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1500" w:x="12691" w:y="5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702,310,101.88</w:t>
      </w:r>
    </w:p>
    <w:p>
      <w:pPr>
        <w:framePr w:w="1680" w:x="14354" w:y="5619"/>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1,350,087,637.28</w:t>
      </w:r>
    </w:p>
    <w:p>
      <w:pPr>
        <w:framePr w:w="600" w:x="1685" w:y="634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2760" w:x="1265" w:y="659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2760" w:x="1265" w:y="659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三、本期增减变动金额（减少以</w:t>
      </w:r>
    </w:p>
    <w:p>
      <w:pPr>
        <w:framePr w:w="2760" w:x="1265" w:y="659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“－”号填列）</w:t>
      </w:r>
    </w:p>
    <w:p>
      <w:pPr>
        <w:framePr w:w="1500" w:x="4040" w:y="659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4040" w:y="6594"/>
        <w:widowControl w:val="0"/>
        <w:autoSpaceDE w:val="0"/>
        <w:autoSpaceDN w:val="0"/>
        <w:spacing w:before="62" w:line="180" w:lineRule="exact"/>
        <w:ind w:left="89"/>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500" w:x="7021" w:y="659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1500" w:x="7021" w:y="6594"/>
        <w:widowControl w:val="0"/>
        <w:autoSpaceDE w:val="0"/>
        <w:autoSpaceDN w:val="0"/>
        <w:spacing w:before="6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2830" w:x="9801" w:y="659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31,262,063.52</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2830" w:x="9801" w:y="6594"/>
        <w:widowControl w:val="0"/>
        <w:autoSpaceDE w:val="0"/>
        <w:autoSpaceDN w:val="0"/>
        <w:spacing w:before="62"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1,808,631.18</w:t>
      </w:r>
    </w:p>
    <w:p>
      <w:pPr>
        <w:framePr w:w="1500" w:x="12691" w:y="659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702,310,101.88</w:t>
      </w:r>
    </w:p>
    <w:p>
      <w:pPr>
        <w:framePr w:w="1500" w:x="12691" w:y="6594"/>
        <w:widowControl w:val="0"/>
        <w:autoSpaceDE w:val="0"/>
        <w:autoSpaceDN w:val="0"/>
        <w:spacing w:before="62"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6,234,900.15</w:t>
      </w:r>
    </w:p>
    <w:p>
      <w:pPr>
        <w:framePr w:w="1680" w:x="14354" w:y="659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1,350,087,637.28</w:t>
      </w:r>
    </w:p>
    <w:p>
      <w:pPr>
        <w:framePr w:w="1680" w:x="14354" w:y="6594"/>
        <w:widowControl w:val="0"/>
        <w:autoSpaceDE w:val="0"/>
        <w:autoSpaceDN w:val="0"/>
        <w:spacing w:before="62" w:line="180" w:lineRule="exact"/>
        <w:ind w:left="36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8,043,531.33</w:t>
      </w:r>
    </w:p>
    <w:p>
      <w:pPr>
        <w:framePr w:w="2671" w:x="1265" w:y="731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（一）综合收益总额</w:t>
      </w:r>
    </w:p>
    <w:p>
      <w:pPr>
        <w:framePr w:w="2671" w:x="1265" w:y="731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（二）所有者投入和减少资本</w:t>
      </w:r>
    </w:p>
    <w:p>
      <w:pPr>
        <w:framePr w:w="2671" w:x="1265" w:y="7314"/>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．所有者投入的普通股</w:t>
      </w:r>
    </w:p>
    <w:p>
      <w:pPr>
        <w:framePr w:w="2671" w:x="1265" w:y="731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．其他权益工具持有者投入资</w:t>
      </w:r>
    </w:p>
    <w:p>
      <w:pPr>
        <w:framePr w:w="2671" w:x="1265" w:y="731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p>
    <w:p>
      <w:pPr>
        <w:framePr w:w="1411" w:x="12780" w:y="73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39,834,900.15</w:t>
      </w:r>
    </w:p>
    <w:p>
      <w:pPr>
        <w:framePr w:w="1411" w:x="14623" w:y="731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39,834,900.15</w:t>
      </w:r>
    </w:p>
    <w:p>
      <w:pPr>
        <w:framePr w:w="2671" w:x="1265" w:y="852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．股份支付计入所有者权益的</w:t>
      </w:r>
    </w:p>
    <w:p>
      <w:pPr>
        <w:framePr w:w="2671" w:x="1265" w:y="8521"/>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金额</w:t>
      </w:r>
    </w:p>
    <w:p>
      <w:pPr>
        <w:framePr w:w="871" w:x="1265" w:y="899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1500" w:x="1265" w:y="92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500" w:x="12691" w:y="924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2691" w:y="9242"/>
        <w:widowControl w:val="0"/>
        <w:autoSpaceDE w:val="0"/>
        <w:autoSpaceDN w:val="0"/>
        <w:spacing w:before="30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4534" w:y="924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1500" w:x="14534" w:y="9242"/>
        <w:widowControl w:val="0"/>
        <w:autoSpaceDE w:val="0"/>
        <w:autoSpaceDN w:val="0"/>
        <w:spacing w:before="30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-33,600,000.00</w:t>
      </w:r>
    </w:p>
    <w:p>
      <w:pPr>
        <w:framePr w:w="2671" w:x="1265" w:y="948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2671" w:x="1265" w:y="9484"/>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．对所有者（或股东）的分配</w:t>
      </w:r>
    </w:p>
    <w:p>
      <w:pPr>
        <w:framePr w:w="2671" w:x="1265" w:y="948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．其他</w:t>
      </w:r>
    </w:p>
    <w:p>
      <w:pPr>
        <w:framePr w:w="2400" w:x="1265" w:y="1021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（四）所有者权益内部结转</w:t>
      </w:r>
    </w:p>
    <w:p>
      <w:pPr>
        <w:framePr w:w="1411" w:x="4128" w:y="1021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500" w:x="7021" w:y="1021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847" w:x="8072"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20" type="#_x0000_t75" style="width:697.6pt;height:2.7pt;margin-top:53.9pt;margin-left:69.55pt;mso-position-horizontal-relative:page;mso-position-vertical-relative:page;position:absolute;z-index:-251389952">
            <v:imagedata r:id="rId87" o:title=""/>
          </v:shape>
        </w:pict>
      </w:r>
      <w:r>
        <w:rPr>
          <w:noProof/>
        </w:rPr>
        <w:pict>
          <v:shape id="_x0000_s1121" type="#_x0000_t75" style="width:789.45pt;height:26.35pt;margin-top:88.6pt;margin-left:28.15pt;mso-position-horizontal-relative:page;mso-position-vertical-relative:page;position:absolute;z-index:-251473920">
            <v:imagedata r:id="rId88" o:title=""/>
          </v:shape>
        </w:pict>
      </w:r>
      <w:r>
        <w:rPr>
          <w:noProof/>
        </w:rPr>
        <w:pict>
          <v:shape id="_x0000_s1122" type="#_x0000_t75" style="width:739.75pt;height:308.4pt;margin-top:214.25pt;margin-left:56.6pt;mso-position-horizontal-relative:page;mso-position-vertical-relative:page;position:absolute;z-index:-251613184">
            <v:imagedata r:id="rId89" o:title=""/>
          </v:shape>
        </w:pict>
      </w:r>
    </w:p>
    <w:p>
      <w:pPr>
        <w:spacing w:line="0" w:lineRule="atLeast"/>
        <w:rPr>
          <w:rFonts w:ascii="Arial" w:eastAsiaTheme="minorEastAsia" w:hAnsiTheme="minorHAnsi" w:cstheme="minorBidi"/>
          <w:color w:val="FF0000"/>
          <w:sz w:val="2"/>
          <w:szCs w:val="22"/>
          <w:lang w:val="en-US" w:eastAsia="en-US" w:bidi="ar-SA"/>
        </w:rPr>
      </w:pPr>
      <w:bookmarkStart w:id="45" w:name="br1_44"/>
      <w:bookmarkEnd w:id="45"/>
      <w:r>
        <w:rPr>
          <w:rFonts w:ascii="Arial" w:eastAsiaTheme="minorEastAsia" w:hAnsiTheme="minorHAnsi" w:cstheme="minorBidi"/>
          <w:color w:val="FF0000"/>
          <w:sz w:val="2"/>
          <w:szCs w:val="22"/>
          <w:lang w:val="en-US" w:eastAsia="en-US" w:bidi="ar-SA"/>
        </w:rPr>
        <w:t xml:space="preserve"> </w:t>
      </w:r>
    </w:p>
    <w:p>
      <w:pPr>
        <w:framePr w:w="1730" w:x="7621"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850" w:x="1265" w:y="182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．资本公积转增资本（或股本）</w:t>
      </w:r>
    </w:p>
    <w:p>
      <w:pPr>
        <w:framePr w:w="2850" w:x="1265" w:y="1827"/>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4"/>
          <w:sz w:val="18"/>
          <w:szCs w:val="22"/>
          <w:lang w:val="en-US" w:eastAsia="en-US" w:bidi="ar-SA"/>
        </w:rPr>
        <w:t>．盈余公积转增资本（或股本）</w:t>
      </w:r>
    </w:p>
    <w:p>
      <w:pPr>
        <w:framePr w:w="2850" w:x="1265" w:y="1827"/>
        <w:widowControl w:val="0"/>
        <w:autoSpaceDE w:val="0"/>
        <w:autoSpaceDN w:val="0"/>
        <w:spacing w:before="65"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．盈余公积弥补亏损</w:t>
      </w:r>
    </w:p>
    <w:p>
      <w:pPr>
        <w:framePr w:w="2850" w:x="1265" w:y="1827"/>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．设定受益计划变动额结转留</w:t>
      </w:r>
    </w:p>
    <w:p>
      <w:pPr>
        <w:framePr w:w="2850" w:x="1265" w:y="182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存收益</w:t>
      </w:r>
    </w:p>
    <w:p>
      <w:pPr>
        <w:framePr w:w="1411" w:x="4128"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1500" w:x="7021" w:y="182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-44,800,000.00</w:t>
      </w:r>
    </w:p>
    <w:p>
      <w:pPr>
        <w:framePr w:w="2671" w:x="1265" w:y="303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．其他综合收益结转留存收益</w:t>
      </w:r>
    </w:p>
    <w:p>
      <w:pPr>
        <w:framePr w:w="2671" w:x="1265" w:y="3034"/>
        <w:widowControl w:val="0"/>
        <w:autoSpaceDE w:val="0"/>
        <w:autoSpaceDN w:val="0"/>
        <w:spacing w:before="62"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1265" w:y="352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320" w:x="9892" w:y="352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1,808,631.18</w:t>
      </w:r>
    </w:p>
    <w:p>
      <w:pPr>
        <w:framePr w:w="1320" w:x="9892" w:y="3521"/>
        <w:widowControl w:val="0"/>
        <w:autoSpaceDE w:val="0"/>
        <w:autoSpaceDN w:val="0"/>
        <w:spacing w:before="63"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3,613,858.80</w:t>
      </w:r>
    </w:p>
    <w:p>
      <w:pPr>
        <w:framePr w:w="1320" w:x="9892" w:y="3521"/>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1,805,227.62</w:t>
      </w:r>
    </w:p>
    <w:p>
      <w:pPr>
        <w:framePr w:w="1320" w:x="14714" w:y="3521"/>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1,808,631.18</w:t>
      </w:r>
    </w:p>
    <w:p>
      <w:pPr>
        <w:framePr w:w="1320" w:x="14714" w:y="3521"/>
        <w:widowControl w:val="0"/>
        <w:autoSpaceDE w:val="0"/>
        <w:autoSpaceDN w:val="0"/>
        <w:spacing w:before="63"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3,613,858.80</w:t>
      </w:r>
    </w:p>
    <w:p>
      <w:pPr>
        <w:framePr w:w="1320" w:x="14714" w:y="3521"/>
        <w:widowControl w:val="0"/>
        <w:autoSpaceDE w:val="0"/>
        <w:autoSpaceDN w:val="0"/>
        <w:spacing w:before="65"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1,805,227.62</w:t>
      </w:r>
    </w:p>
    <w:p>
      <w:pPr>
        <w:framePr w:w="1231" w:x="1265" w:y="376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231" w:x="1265" w:y="4009"/>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140" w:x="1265" w:y="425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680" w:x="1265" w:y="449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4040" w:y="449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156,800,000.00</w:t>
      </w:r>
    </w:p>
    <w:p>
      <w:pPr>
        <w:framePr w:w="1500" w:x="7021" w:y="449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403,715,471.88</w:t>
      </w:r>
    </w:p>
    <w:p>
      <w:pPr>
        <w:framePr w:w="2830" w:x="9801" w:y="449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33,070,694.70</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1500" w:x="12691" w:y="449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708,545,002.03</w:t>
      </w:r>
    </w:p>
    <w:p>
      <w:pPr>
        <w:framePr w:w="1680" w:x="14354" w:y="449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1,358,131,168.61</w:t>
      </w:r>
    </w:p>
    <w:p>
      <w:pPr>
        <w:framePr w:w="1591" w:x="9126" w:y="5298"/>
        <w:widowControl w:val="0"/>
        <w:autoSpaceDE w:val="0"/>
        <w:autoSpaceDN w:val="0"/>
        <w:spacing w:line="180" w:lineRule="exact"/>
        <w:ind w:left="226"/>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2019</w:t>
      </w:r>
      <w:r>
        <w:rPr>
          <w:rFonts w:ascii="SimSun" w:hAnsi="SimSun" w:eastAsiaTheme="minorEastAsia" w:cs="SimSun"/>
          <w:color w:val="000000"/>
          <w:sz w:val="18"/>
          <w:szCs w:val="22"/>
          <w:lang w:val="en-US" w:eastAsia="en-US" w:bidi="ar-SA"/>
        </w:rPr>
        <w:t>年半年度</w:t>
      </w:r>
    </w:p>
    <w:p>
      <w:pPr>
        <w:framePr w:w="1591" w:x="9126" w:y="5298"/>
        <w:widowControl w:val="0"/>
        <w:autoSpaceDE w:val="0"/>
        <w:autoSpaceDN w:val="0"/>
        <w:spacing w:before="23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1320" w:x="5579" w:y="558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其他权益工具</w:t>
      </w:r>
    </w:p>
    <w:p>
      <w:pPr>
        <w:framePr w:w="600" w:x="8495" w:y="559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w:t>
      </w:r>
    </w:p>
    <w:p>
      <w:pPr>
        <w:framePr w:w="600" w:x="8495" w:y="5595"/>
        <w:widowControl w:val="0"/>
        <w:autoSpaceDE w:val="0"/>
        <w:autoSpaceDN w:val="0"/>
        <w:spacing w:before="53" w:line="180" w:lineRule="exact"/>
        <w:ind w:left="8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库</w:t>
      </w:r>
    </w:p>
    <w:p>
      <w:pPr>
        <w:framePr w:w="600" w:x="2316" w:y="582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1502" w:x="3992" w:y="582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实收资本</w:t>
      </w:r>
      <w:r>
        <w:rPr>
          <w:rFonts w:eastAsiaTheme="minorEastAsia" w:hAnsiTheme="minorHAnsi" w:cstheme="minorBidi"/>
          <w:color w:val="000000"/>
          <w:spacing w:val="46"/>
          <w:sz w:val="18"/>
          <w:szCs w:val="22"/>
          <w:lang w:val="en-US" w:eastAsia="en-US" w:bidi="ar-SA"/>
        </w:rPr>
        <w:t xml:space="preserve"> </w:t>
      </w:r>
      <w:r>
        <w:rPr>
          <w:rFonts w:ascii="SimSun" w:eastAsiaTheme="minorEastAsia" w:hAnsiTheme="minorHAnsi" w:cstheme="minorBidi"/>
          <w:color w:val="000000"/>
          <w:spacing w:val="1"/>
          <w:sz w:val="18"/>
          <w:szCs w:val="22"/>
          <w:lang w:val="en-US" w:eastAsia="en-US" w:bidi="ar-SA"/>
        </w:rPr>
        <w:t>(</w:t>
      </w:r>
      <w:r>
        <w:rPr>
          <w:rFonts w:ascii="SimSun" w:hAnsi="SimSun" w:eastAsiaTheme="minorEastAsia" w:cs="SimSun"/>
          <w:color w:val="000000"/>
          <w:sz w:val="18"/>
          <w:szCs w:val="22"/>
          <w:lang w:val="en-US" w:eastAsia="en-US" w:bidi="ar-SA"/>
        </w:rPr>
        <w:t>或股</w:t>
      </w:r>
    </w:p>
    <w:p>
      <w:pPr>
        <w:framePr w:w="1502" w:x="3992" w:y="5828"/>
        <w:widowControl w:val="0"/>
        <w:autoSpaceDE w:val="0"/>
        <w:autoSpaceDN w:val="0"/>
        <w:spacing w:before="53" w:line="180" w:lineRule="exact"/>
        <w:ind w:left="494"/>
        <w:rPr>
          <w:rFonts w:ascii="SimSun"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r>
        <w:rPr>
          <w:rFonts w:ascii="SimSun" w:eastAsiaTheme="minorEastAsia" w:hAnsiTheme="minorHAnsi" w:cstheme="minorBidi"/>
          <w:color w:val="000000"/>
          <w:sz w:val="18"/>
          <w:szCs w:val="22"/>
          <w:lang w:val="en-US" w:eastAsia="en-US" w:bidi="ar-SA"/>
        </w:rPr>
        <w:t>)</w:t>
      </w:r>
    </w:p>
    <w:p>
      <w:pPr>
        <w:framePr w:w="420" w:x="5595" w:y="587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优</w:t>
      </w:r>
    </w:p>
    <w:p>
      <w:pPr>
        <w:framePr w:w="420" w:x="5595" w:y="587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先</w:t>
      </w:r>
    </w:p>
    <w:p>
      <w:pPr>
        <w:framePr w:w="420" w:x="5595" w:y="5876"/>
        <w:widowControl w:val="0"/>
        <w:autoSpaceDE w:val="0"/>
        <w:autoSpaceDN w:val="0"/>
        <w:spacing w:before="56"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420" w:x="6092" w:y="587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永</w:t>
      </w:r>
    </w:p>
    <w:p>
      <w:pPr>
        <w:framePr w:w="420" w:x="6092" w:y="587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续</w:t>
      </w:r>
    </w:p>
    <w:p>
      <w:pPr>
        <w:framePr w:w="420" w:x="6092" w:y="5876"/>
        <w:widowControl w:val="0"/>
        <w:autoSpaceDE w:val="0"/>
        <w:autoSpaceDN w:val="0"/>
        <w:spacing w:before="56"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债</w:t>
      </w:r>
    </w:p>
    <w:p>
      <w:pPr>
        <w:framePr w:w="960" w:x="7249" w:y="59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资本公积</w:t>
      </w:r>
    </w:p>
    <w:p>
      <w:pPr>
        <w:framePr w:w="600" w:x="9126" w:y="59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综合</w:t>
      </w:r>
    </w:p>
    <w:p>
      <w:pPr>
        <w:framePr w:w="600" w:x="9126" w:y="5946"/>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收益</w:t>
      </w:r>
    </w:p>
    <w:p>
      <w:pPr>
        <w:framePr w:w="960" w:x="10012" w:y="59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专项储备</w:t>
      </w:r>
    </w:p>
    <w:p>
      <w:pPr>
        <w:framePr w:w="960" w:x="11428" w:y="59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盈余公积</w:t>
      </w:r>
    </w:p>
    <w:p>
      <w:pPr>
        <w:framePr w:w="1140" w:x="12828" w:y="59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未分配利润</w:t>
      </w:r>
    </w:p>
    <w:p>
      <w:pPr>
        <w:framePr w:w="1500" w:x="14349" w:y="59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所有者权益合计</w:t>
      </w:r>
    </w:p>
    <w:p>
      <w:pPr>
        <w:framePr w:w="420" w:x="6527" w:y="599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w:t>
      </w:r>
    </w:p>
    <w:p>
      <w:pPr>
        <w:framePr w:w="420" w:x="6527" w:y="599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他</w:t>
      </w:r>
    </w:p>
    <w:p>
      <w:pPr>
        <w:framePr w:w="420" w:x="8579" w:y="606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w:t>
      </w:r>
    </w:p>
    <w:p>
      <w:pPr>
        <w:framePr w:w="420" w:x="8579" w:y="629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股</w:t>
      </w:r>
    </w:p>
    <w:p>
      <w:pPr>
        <w:framePr w:w="1740" w:x="1265" w:y="659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一、上年期末余额</w:t>
      </w:r>
    </w:p>
    <w:p>
      <w:pPr>
        <w:framePr w:w="1740" w:x="1265" w:y="6592"/>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加：会计政策变更</w:t>
      </w:r>
    </w:p>
    <w:p>
      <w:pPr>
        <w:framePr w:w="1740" w:x="1265" w:y="6592"/>
        <w:widowControl w:val="0"/>
        <w:autoSpaceDE w:val="0"/>
        <w:autoSpaceDN w:val="0"/>
        <w:spacing w:before="67" w:line="180" w:lineRule="exact"/>
        <w:ind w:left="42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前期差错更正</w:t>
      </w:r>
    </w:p>
    <w:p>
      <w:pPr>
        <w:framePr w:w="1500" w:x="4042"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021"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830" w:x="9801"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36,030,924.09</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1500" w:x="12691"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517,278,686.18</w:t>
      </w:r>
    </w:p>
    <w:p>
      <w:pPr>
        <w:framePr w:w="1680" w:x="14354" w:y="65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1,169,825,082.15</w:t>
      </w:r>
    </w:p>
    <w:p>
      <w:pPr>
        <w:framePr w:w="600" w:x="1685" w:y="733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w:t>
      </w:r>
    </w:p>
    <w:p>
      <w:pPr>
        <w:framePr w:w="2760" w:x="1265" w:y="758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二、本年期初余额</w:t>
      </w:r>
    </w:p>
    <w:p>
      <w:pPr>
        <w:framePr w:w="2760" w:x="1265" w:y="7585"/>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三、本期增减变动金额（减少以</w:t>
      </w:r>
    </w:p>
    <w:p>
      <w:pPr>
        <w:framePr w:w="2760" w:x="1265" w:y="758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“－”号填列）</w:t>
      </w:r>
    </w:p>
    <w:p>
      <w:pPr>
        <w:framePr w:w="1500" w:x="4042" w:y="758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021" w:y="758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830" w:x="9801" w:y="758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36,030,924.09</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2830" w:x="9801" w:y="7585"/>
        <w:widowControl w:val="0"/>
        <w:autoSpaceDE w:val="0"/>
        <w:autoSpaceDN w:val="0"/>
        <w:spacing w:before="70"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1,841,090.03</w:t>
      </w:r>
    </w:p>
    <w:p>
      <w:pPr>
        <w:framePr w:w="1500" w:x="12691" w:y="758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517,278,686.18</w:t>
      </w:r>
    </w:p>
    <w:p>
      <w:pPr>
        <w:framePr w:w="1500" w:x="12691" w:y="7585"/>
        <w:widowControl w:val="0"/>
        <w:autoSpaceDE w:val="0"/>
        <w:autoSpaceDN w:val="0"/>
        <w:spacing w:before="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109,153,908.59</w:t>
      </w:r>
    </w:p>
    <w:p>
      <w:pPr>
        <w:framePr w:w="1680" w:x="14354" w:y="758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1,169,825,082.15</w:t>
      </w:r>
    </w:p>
    <w:p>
      <w:pPr>
        <w:framePr w:w="1680" w:x="14354" w:y="7585"/>
        <w:widowControl w:val="0"/>
        <w:autoSpaceDE w:val="0"/>
        <w:autoSpaceDN w:val="0"/>
        <w:spacing w:before="70"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110,994,998.62</w:t>
      </w:r>
    </w:p>
    <w:p>
      <w:pPr>
        <w:framePr w:w="2671" w:x="1265" w:y="831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（一）综合收益总额</w:t>
      </w:r>
    </w:p>
    <w:p>
      <w:pPr>
        <w:framePr w:w="2671" w:x="1265" w:y="8317"/>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（二）所有者投入和减少资本</w:t>
      </w:r>
    </w:p>
    <w:p>
      <w:pPr>
        <w:framePr w:w="2671" w:x="1265" w:y="8317"/>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．所有者投入的普通股</w:t>
      </w:r>
    </w:p>
    <w:p>
      <w:pPr>
        <w:framePr w:w="2671" w:x="1265" w:y="8317"/>
        <w:widowControl w:val="0"/>
        <w:autoSpaceDE w:val="0"/>
        <w:autoSpaceDN w:val="0"/>
        <w:spacing w:before="68"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．其他权益工具持有者投入资</w:t>
      </w:r>
    </w:p>
    <w:p>
      <w:pPr>
        <w:framePr w:w="2671" w:x="1265" w:y="8317"/>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本</w:t>
      </w:r>
    </w:p>
    <w:p>
      <w:pPr>
        <w:framePr w:w="1500" w:x="12691" w:y="831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109,153,908.59</w:t>
      </w:r>
    </w:p>
    <w:p>
      <w:pPr>
        <w:framePr w:w="1500" w:x="14534" w:y="831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109,153,908.59</w:t>
      </w:r>
    </w:p>
    <w:p>
      <w:pPr>
        <w:framePr w:w="2671" w:x="1265" w:y="954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．股份支付计入所有者权益的</w:t>
      </w:r>
    </w:p>
    <w:p>
      <w:pPr>
        <w:framePr w:w="2671" w:x="1265" w:y="9544"/>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金额</w:t>
      </w:r>
    </w:p>
    <w:p>
      <w:pPr>
        <w:framePr w:w="871" w:x="1265" w:y="1002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．其他</w:t>
      </w:r>
    </w:p>
    <w:p>
      <w:pPr>
        <w:framePr w:w="847" w:x="8072"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23" type="#_x0000_t75" style="width:697.6pt;height:2.7pt;margin-top:53.9pt;margin-left:69.55pt;mso-position-horizontal-relative:page;mso-position-vertical-relative:page;position:absolute;z-index:-251388928">
            <v:imagedata r:id="rId90" o:title=""/>
          </v:shape>
        </w:pict>
      </w:r>
      <w:r>
        <w:rPr>
          <w:noProof/>
        </w:rPr>
        <w:pict>
          <v:shape id="_x0000_s1124" type="#_x0000_t75" style="width:739.75pt;height:148.05pt;margin-top:88.6pt;margin-left:56.6pt;mso-position-horizontal-relative:page;mso-position-vertical-relative:page;position:absolute;z-index:-251472896">
            <v:imagedata r:id="rId91" o:title=""/>
          </v:shape>
        </w:pict>
      </w:r>
      <w:r>
        <w:rPr>
          <w:noProof/>
        </w:rPr>
        <w:pict>
          <v:shape id="_x0000_s1125" type="#_x0000_t75" style="width:740pt;height:251.55pt;margin-top:261.9pt;margin-left:56.5pt;mso-position-horizontal-relative:page;mso-position-vertical-relative:page;position:absolute;z-index:-251612160">
            <v:imagedata r:id="rId92" o:title=""/>
          </v:shape>
        </w:pict>
      </w:r>
    </w:p>
    <w:p>
      <w:pPr>
        <w:spacing w:line="0" w:lineRule="atLeast"/>
        <w:rPr>
          <w:rFonts w:ascii="Arial" w:eastAsiaTheme="minorEastAsia" w:hAnsiTheme="minorHAnsi" w:cstheme="minorBidi"/>
          <w:color w:val="FF0000"/>
          <w:sz w:val="2"/>
          <w:szCs w:val="22"/>
          <w:lang w:val="en-US" w:eastAsia="en-US" w:bidi="ar-SA"/>
        </w:rPr>
      </w:pPr>
      <w:bookmarkStart w:id="46" w:name="br1_45"/>
      <w:bookmarkEnd w:id="46"/>
      <w:r>
        <w:rPr>
          <w:rFonts w:ascii="Arial" w:eastAsiaTheme="minorEastAsia" w:hAnsiTheme="minorHAnsi" w:cstheme="minorBidi"/>
          <w:color w:val="FF0000"/>
          <w:sz w:val="2"/>
          <w:szCs w:val="22"/>
          <w:lang w:val="en-US" w:eastAsia="en-US" w:bidi="ar-SA"/>
        </w:rPr>
        <w:t xml:space="preserve"> </w:t>
      </w:r>
    </w:p>
    <w:p>
      <w:pPr>
        <w:framePr w:w="1730" w:x="7621" w:y="854"/>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500" w:x="1265" w:y="183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（三）利润分配</w:t>
      </w:r>
    </w:p>
    <w:p>
      <w:pPr>
        <w:framePr w:w="1591" w:x="1265" w:y="2081"/>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．提取盈余公积</w:t>
      </w:r>
    </w:p>
    <w:p>
      <w:pPr>
        <w:framePr w:w="2671" w:x="1265" w:y="232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．对所有者（或股东）的分配</w:t>
      </w:r>
    </w:p>
    <w:p>
      <w:pPr>
        <w:framePr w:w="2671" w:x="1265" w:y="2328"/>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．其他</w:t>
      </w:r>
    </w:p>
    <w:p>
      <w:pPr>
        <w:framePr w:w="2850" w:x="1265" w:y="282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（四）所有者权益内部结转</w:t>
      </w:r>
    </w:p>
    <w:p>
      <w:pPr>
        <w:framePr w:w="2850" w:x="1265" w:y="2825"/>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．资本公积转增资本（或股本）</w:t>
      </w:r>
    </w:p>
    <w:p>
      <w:pPr>
        <w:framePr w:w="2850" w:x="1265" w:y="2825"/>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4"/>
          <w:sz w:val="18"/>
          <w:szCs w:val="22"/>
          <w:lang w:val="en-US" w:eastAsia="en-US" w:bidi="ar-SA"/>
        </w:rPr>
        <w:t>．盈余公积转增资本（或股本）</w:t>
      </w:r>
    </w:p>
    <w:p>
      <w:pPr>
        <w:framePr w:w="2850" w:x="1265" w:y="2825"/>
        <w:widowControl w:val="0"/>
        <w:autoSpaceDE w:val="0"/>
        <w:autoSpaceDN w:val="0"/>
        <w:spacing w:before="70"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．盈余公积弥补亏损</w:t>
      </w:r>
    </w:p>
    <w:p>
      <w:pPr>
        <w:framePr w:w="2850" w:x="1265" w:y="2825"/>
        <w:widowControl w:val="0"/>
        <w:autoSpaceDE w:val="0"/>
        <w:autoSpaceDN w:val="0"/>
        <w:spacing w:before="68"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．设定受益计划变动额结转留</w:t>
      </w:r>
    </w:p>
    <w:p>
      <w:pPr>
        <w:framePr w:w="2850" w:x="1265" w:y="2825"/>
        <w:widowControl w:val="0"/>
        <w:autoSpaceDE w:val="0"/>
        <w:autoSpaceDN w:val="0"/>
        <w:spacing w:before="53"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存收益</w:t>
      </w:r>
    </w:p>
    <w:p>
      <w:pPr>
        <w:framePr w:w="2671" w:x="1265" w:y="430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．其他综合收益结转留存收益</w:t>
      </w:r>
    </w:p>
    <w:p>
      <w:pPr>
        <w:framePr w:w="2671" w:x="1265" w:y="4302"/>
        <w:widowControl w:val="0"/>
        <w:autoSpaceDE w:val="0"/>
        <w:autoSpaceDN w:val="0"/>
        <w:spacing w:before="67"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6</w:t>
      </w:r>
      <w:r>
        <w:rPr>
          <w:rFonts w:ascii="SimSun" w:hAnsi="SimSun" w:eastAsiaTheme="minorEastAsia" w:cs="SimSun"/>
          <w:color w:val="000000"/>
          <w:sz w:val="18"/>
          <w:szCs w:val="22"/>
          <w:lang w:val="en-US" w:eastAsia="en-US" w:bidi="ar-SA"/>
        </w:rPr>
        <w:t>．其他</w:t>
      </w:r>
    </w:p>
    <w:p>
      <w:pPr>
        <w:framePr w:w="1500" w:x="1265" w:y="479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（五）专项储备</w:t>
      </w:r>
    </w:p>
    <w:p>
      <w:pPr>
        <w:framePr w:w="1320" w:x="9892" w:y="479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1,841,090.03</w:t>
      </w:r>
    </w:p>
    <w:p>
      <w:pPr>
        <w:framePr w:w="1320" w:x="9892" w:y="4798"/>
        <w:widowControl w:val="0"/>
        <w:autoSpaceDE w:val="0"/>
        <w:autoSpaceDN w:val="0"/>
        <w:spacing w:before="6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3,691,336.07</w:t>
      </w:r>
    </w:p>
    <w:p>
      <w:pPr>
        <w:framePr w:w="1320" w:x="9892" w:y="4798"/>
        <w:widowControl w:val="0"/>
        <w:autoSpaceDE w:val="0"/>
        <w:autoSpaceDN w:val="0"/>
        <w:spacing w:before="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1,850,246.04</w:t>
      </w:r>
    </w:p>
    <w:p>
      <w:pPr>
        <w:framePr w:w="1320" w:x="14714" w:y="4798"/>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1,841,090.03</w:t>
      </w:r>
    </w:p>
    <w:p>
      <w:pPr>
        <w:framePr w:w="1320" w:x="14714" w:y="4798"/>
        <w:widowControl w:val="0"/>
        <w:autoSpaceDE w:val="0"/>
        <w:autoSpaceDN w:val="0"/>
        <w:spacing w:before="67"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3,691,336.07</w:t>
      </w:r>
    </w:p>
    <w:p>
      <w:pPr>
        <w:framePr w:w="1320" w:x="14714" w:y="4798"/>
        <w:widowControl w:val="0"/>
        <w:autoSpaceDE w:val="0"/>
        <w:autoSpaceDN w:val="0"/>
        <w:spacing w:before="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1,850,246.04</w:t>
      </w:r>
    </w:p>
    <w:p>
      <w:pPr>
        <w:framePr w:w="1231" w:x="1265" w:y="504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．本期提取</w:t>
      </w:r>
    </w:p>
    <w:p>
      <w:pPr>
        <w:framePr w:w="1231" w:x="1265" w:y="529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．本期使用</w:t>
      </w:r>
    </w:p>
    <w:p>
      <w:pPr>
        <w:framePr w:w="1140" w:x="1265" w:y="55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（六）其他</w:t>
      </w:r>
    </w:p>
    <w:p>
      <w:pPr>
        <w:framePr w:w="1680" w:x="1265" w:y="579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四、本期期末余额</w:t>
      </w:r>
    </w:p>
    <w:p>
      <w:pPr>
        <w:framePr w:w="1500" w:x="4042" w:y="57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112,000,000.00</w:t>
      </w:r>
    </w:p>
    <w:p>
      <w:pPr>
        <w:framePr w:w="1500" w:x="7021" w:y="57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448,515,471.88</w:t>
      </w:r>
    </w:p>
    <w:p>
      <w:pPr>
        <w:framePr w:w="2830" w:x="9801" w:y="57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37,872,014.12</w:t>
      </w:r>
      <w:r>
        <w:rPr>
          <w:rFonts w:ascii="SimSun" w:eastAsiaTheme="minorEastAsia" w:hAnsiTheme="minorHAnsi" w:cstheme="minorBidi"/>
          <w:color w:val="000000"/>
          <w:spacing w:val="157"/>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56,000,000.00</w:t>
      </w:r>
    </w:p>
    <w:p>
      <w:pPr>
        <w:framePr w:w="1500" w:x="12691" w:y="57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626,432,594.77</w:t>
      </w:r>
    </w:p>
    <w:p>
      <w:pPr>
        <w:framePr w:w="1680" w:x="14354" w:y="579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1,280,820,080.77</w:t>
      </w:r>
    </w:p>
    <w:p>
      <w:pPr>
        <w:framePr w:w="2141" w:x="1440" w:y="6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法定代表人：王现全</w:t>
      </w:r>
    </w:p>
    <w:p>
      <w:pPr>
        <w:framePr w:w="2986" w:x="6587" w:y="6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主管会计工作负责人：江广同</w:t>
      </w:r>
    </w:p>
    <w:p>
      <w:pPr>
        <w:framePr w:w="2563" w:x="12676" w:y="6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会计机构负责人：江广同</w:t>
      </w:r>
    </w:p>
    <w:p>
      <w:pPr>
        <w:framePr w:w="847" w:x="8072" w:y="1046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6820" w:h="11900" w:orient="landscape"/>
          <w:pgMar w:top="0" w:right="0" w:bottom="0" w:left="0" w:header="720" w:footer="720" w:gutter="0"/>
          <w:pgNumType w:start="1"/>
          <w:cols w:sep="0" w:space="720"/>
          <w:docGrid w:linePitch="1"/>
        </w:sectPr>
      </w:pPr>
      <w:r>
        <w:rPr>
          <w:noProof/>
        </w:rPr>
        <w:pict>
          <v:shape id="_x0000_s1126" type="#_x0000_t75" style="width:697.6pt;height:2.7pt;margin-top:53.9pt;margin-left:69.55pt;mso-position-horizontal-relative:page;mso-position-vertical-relative:page;position:absolute;z-index:-251471872">
            <v:imagedata r:id="rId93" o:title=""/>
          </v:shape>
        </w:pict>
      </w:r>
      <w:r>
        <w:rPr>
          <w:noProof/>
        </w:rPr>
        <w:pict>
          <v:shape id="_x0000_s1127" type="#_x0000_t75" style="width:740pt;height:213.25pt;margin-top:88.6pt;margin-left:56.5pt;mso-position-horizontal-relative:page;mso-position-vertical-relative:page;position:absolute;z-index:-251611136">
            <v:imagedata r:id="rId94" o:title=""/>
          </v:shape>
        </w:pict>
      </w:r>
    </w:p>
    <w:p>
      <w:pPr>
        <w:spacing w:line="0" w:lineRule="atLeast"/>
        <w:rPr>
          <w:rFonts w:ascii="Arial" w:eastAsiaTheme="minorEastAsia" w:hAnsiTheme="minorHAnsi" w:cstheme="minorBidi"/>
          <w:color w:val="FF0000"/>
          <w:sz w:val="2"/>
          <w:szCs w:val="22"/>
          <w:lang w:val="en-US" w:eastAsia="en-US" w:bidi="ar-SA"/>
        </w:rPr>
      </w:pPr>
      <w:bookmarkStart w:id="47" w:name="br1_46"/>
      <w:bookmarkEnd w:id="4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932" w:x="1798" w:y="15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三、公司基本情况</w:t>
      </w:r>
    </w:p>
    <w:p>
      <w:pPr>
        <w:framePr w:w="1505" w:x="1798" w:y="191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1.</w:t>
      </w:r>
      <w:r>
        <w:rPr>
          <w:rFonts w:ascii="Calibri" w:eastAsiaTheme="minorEastAsia" w:hAnsiTheme="minorHAnsi" w:cstheme="minorBidi"/>
          <w:b/>
          <w:color w:val="000000"/>
          <w:spacing w:val="20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公司概况</w:t>
      </w:r>
    </w:p>
    <w:p>
      <w:pPr>
        <w:framePr w:w="1817" w:x="1798" w:y="22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30" w:x="1798" w:y="25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一</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公司注册地、组织形式和总部地址</w:t>
      </w:r>
    </w:p>
    <w:p>
      <w:pPr>
        <w:framePr w:w="9076" w:x="1798" w:y="294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山东先达农化股份有限公司（以下简称“公司”或“本公司”）前身为山东先达化工有限公</w:t>
      </w:r>
    </w:p>
    <w:p>
      <w:pPr>
        <w:framePr w:w="9076" w:x="1798" w:y="29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月经公司股东会决议同意，整体变更为股份有限公司。公司于</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p>
      <w:pPr>
        <w:framePr w:w="9076" w:x="1798" w:y="29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日在上海证券交易所上市，现持有统一社会信用代码为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913700007433656097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的营业执照。</w:t>
      </w:r>
    </w:p>
    <w:p>
      <w:pPr>
        <w:framePr w:w="9076" w:x="1798" w:y="2942"/>
        <w:widowControl w:val="0"/>
        <w:autoSpaceDE w:val="0"/>
        <w:autoSpaceDN w:val="0"/>
        <w:spacing w:before="199"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经过历年的派送红股、转增股本，截止</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pacing w:val="-1"/>
          <w:sz w:val="21"/>
          <w:szCs w:val="22"/>
          <w:lang w:val="en-US" w:eastAsia="en-US" w:bidi="ar-SA"/>
        </w:rPr>
        <w:t>日，本公司累计发行股本总数</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p>
    <w:p>
      <w:pPr>
        <w:framePr w:w="9076" w:x="1798" w:y="294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万股，注册资本为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w:t>
      </w:r>
      <w:r>
        <w:rPr>
          <w:rFonts w:ascii="SimSun"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万元，注册地址：博兴经济开发区。</w:t>
      </w:r>
    </w:p>
    <w:p>
      <w:pPr>
        <w:framePr w:w="3408" w:x="1798" w:y="4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二</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公司业务性质和主要经营活动</w:t>
      </w:r>
    </w:p>
    <w:p>
      <w:pPr>
        <w:framePr w:w="7177" w:x="1798" w:y="539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本公司属化学农药制造行业，主要产品为除草剂、杀菌剂、中间体等。</w:t>
      </w:r>
    </w:p>
    <w:p>
      <w:pPr>
        <w:framePr w:w="7177" w:x="1798" w:y="539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三</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财务报表的批准报出</w:t>
      </w:r>
    </w:p>
    <w:p>
      <w:pPr>
        <w:framePr w:w="5706" w:x="2218" w:y="6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本财务报表业经公司董事会于</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日批准报出。</w:t>
      </w:r>
    </w:p>
    <w:p>
      <w:pPr>
        <w:framePr w:w="2350" w:x="1798" w:y="693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2.</w:t>
      </w:r>
      <w:r>
        <w:rPr>
          <w:rFonts w:ascii="Calibri" w:eastAsiaTheme="minorEastAsia" w:hAnsiTheme="minorHAnsi" w:cstheme="minorBidi"/>
          <w:b/>
          <w:color w:val="000000"/>
          <w:spacing w:val="20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合并财务报表范围</w:t>
      </w:r>
    </w:p>
    <w:p>
      <w:pPr>
        <w:framePr w:w="1817" w:x="1798" w:y="72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074" w:x="2218" w:y="7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期纳入合并财务报表范围的公司共</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户，具体包括：</w:t>
      </w:r>
    </w:p>
    <w:p>
      <w:pPr>
        <w:framePr w:w="1085" w:x="2672" w:y="8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公司名称</w:t>
      </w:r>
    </w:p>
    <w:p>
      <w:pPr>
        <w:framePr w:w="1085" w:x="2672"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296" w:x="4815" w:y="8028"/>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公司类型</w:t>
      </w:r>
    </w:p>
    <w:p>
      <w:pPr>
        <w:framePr w:w="1296" w:x="4815"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4815" w:y="8028"/>
        <w:widowControl w:val="0"/>
        <w:autoSpaceDE w:val="0"/>
        <w:autoSpaceDN w:val="0"/>
        <w:spacing w:before="14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4815"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4815"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4815" w:y="8028"/>
        <w:widowControl w:val="0"/>
        <w:autoSpaceDE w:val="0"/>
        <w:autoSpaceDN w:val="0"/>
        <w:spacing w:before="1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4815"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全资子公司</w:t>
      </w:r>
    </w:p>
    <w:p>
      <w:pPr>
        <w:framePr w:w="1296" w:x="4815"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全资孙公司</w:t>
      </w:r>
    </w:p>
    <w:p>
      <w:pPr>
        <w:framePr w:w="1296" w:x="4815"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全资孙公司</w:t>
      </w:r>
    </w:p>
    <w:p>
      <w:pPr>
        <w:framePr w:w="662" w:x="6407" w:y="8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级次</w:t>
      </w:r>
    </w:p>
    <w:p>
      <w:pPr>
        <w:framePr w:w="662" w:x="6407"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407" w:y="8028"/>
        <w:widowControl w:val="0"/>
        <w:autoSpaceDE w:val="0"/>
        <w:autoSpaceDN w:val="0"/>
        <w:spacing w:before="14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407"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407"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407" w:y="8028"/>
        <w:widowControl w:val="0"/>
        <w:autoSpaceDE w:val="0"/>
        <w:autoSpaceDN w:val="0"/>
        <w:spacing w:before="1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407"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一级</w:t>
      </w:r>
    </w:p>
    <w:p>
      <w:pPr>
        <w:framePr w:w="662" w:x="6407"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二级</w:t>
      </w:r>
    </w:p>
    <w:p>
      <w:pPr>
        <w:framePr w:w="662" w:x="6407" w:y="8028"/>
        <w:widowControl w:val="0"/>
        <w:autoSpaceDE w:val="0"/>
        <w:autoSpaceDN w:val="0"/>
        <w:spacing w:before="13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二级</w:t>
      </w:r>
    </w:p>
    <w:p>
      <w:pPr>
        <w:framePr w:w="3236" w:x="7151" w:y="8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2"/>
          <w:sz w:val="21"/>
          <w:szCs w:val="22"/>
          <w:lang w:val="en-US" w:eastAsia="en-US" w:bidi="ar-SA"/>
        </w:rPr>
        <w:t>持股比例（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表决权比例（</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557" w:x="7595" w:y="83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4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3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7595"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4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3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557" w:x="9182" w:y="8379"/>
        <w:widowControl w:val="0"/>
        <w:autoSpaceDE w:val="0"/>
        <w:autoSpaceDN w:val="0"/>
        <w:spacing w:before="13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1085" w:x="2672" w:y="87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085" w:x="2672" w:y="90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2460" w:y="9430"/>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2460" w:y="9430"/>
        <w:widowControl w:val="0"/>
        <w:autoSpaceDE w:val="0"/>
        <w:autoSpaceDN w:val="0"/>
        <w:spacing w:before="13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507" w:x="2460" w:y="9430"/>
        <w:widowControl w:val="0"/>
        <w:autoSpaceDE w:val="0"/>
        <w:autoSpaceDN w:val="0"/>
        <w:spacing w:before="139"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2672" w:y="104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085" w:x="2672" w:y="10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9078" w:x="1798" w:y="111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本期纳入合并报表范围的主体较上期相比，增加</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pacing w:val="1"/>
          <w:sz w:val="21"/>
          <w:szCs w:val="22"/>
          <w:lang w:val="en-US" w:eastAsia="en-US" w:bidi="ar-SA"/>
        </w:rPr>
        <w:t>户，其中：</w:t>
      </w:r>
    </w:p>
    <w:p>
      <w:pPr>
        <w:framePr w:w="9078" w:x="1798" w:y="1116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．本期新纳入合并范围的公司、特殊目的主体、通过受托经营或承租等方式形成控制权的经</w:t>
      </w:r>
    </w:p>
    <w:p>
      <w:pPr>
        <w:framePr w:w="9078" w:x="1798" w:y="111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营实体</w:t>
      </w:r>
    </w:p>
    <w:p>
      <w:pPr>
        <w:framePr w:w="662" w:x="3375" w:y="124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7429" w:y="124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变更原因</w:t>
      </w:r>
    </w:p>
    <w:p>
      <w:pPr>
        <w:framePr w:w="1085" w:x="7429" w:y="12421"/>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新设投资</w:t>
      </w:r>
    </w:p>
    <w:p>
      <w:pPr>
        <w:framePr w:w="1085" w:x="3164" w:y="128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6365" w:x="2218" w:y="13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合并范围变更主体的具体信息详见“附注八、合并范围的变更”。</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28" type="#_x0000_t75" style="width:445.6pt;height:2.7pt;margin-top:53.65pt;margin-left:87.45pt;mso-position-horizontal-relative:page;mso-position-vertical-relative:page;position:absolute;z-index:-251387904">
            <v:imagedata r:id="rId95" o:title=""/>
          </v:shape>
        </w:pict>
      </w:r>
      <w:r>
        <w:rPr>
          <w:noProof/>
        </w:rPr>
        <w:pict>
          <v:shape id="_x0000_s1129" type="#_x0000_t75" style="width:429.15pt;height:162pt;margin-top:395.8pt;margin-left:82.8pt;mso-position-horizontal-relative:page;mso-position-vertical-relative:page;position:absolute;z-index:-251470848">
            <v:imagedata r:id="rId96" o:title=""/>
          </v:shape>
        </w:pict>
      </w:r>
      <w:r>
        <w:rPr>
          <w:noProof/>
        </w:rPr>
        <w:pict>
          <v:shape id="_x0000_s1130" type="#_x0000_t75" style="width:429.15pt;height:46.3pt;margin-top:617.15pt;margin-left:82.8pt;mso-position-horizontal-relative:page;mso-position-vertical-relative:page;position:absolute;z-index:-251610112">
            <v:imagedata r:id="rId97" o:title=""/>
          </v:shape>
        </w:pict>
      </w:r>
    </w:p>
    <w:p>
      <w:pPr>
        <w:spacing w:line="0" w:lineRule="atLeast"/>
        <w:rPr>
          <w:rFonts w:ascii="Arial" w:eastAsiaTheme="minorEastAsia" w:hAnsiTheme="minorHAnsi" w:cstheme="minorBidi"/>
          <w:color w:val="FF0000"/>
          <w:sz w:val="2"/>
          <w:szCs w:val="22"/>
          <w:lang w:val="en-US" w:eastAsia="en-US" w:bidi="ar-SA"/>
        </w:rPr>
      </w:pPr>
      <w:bookmarkStart w:id="48" w:name="br1_47"/>
      <w:bookmarkEnd w:id="4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56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四、财务报表的编制基础</w:t>
      </w:r>
    </w:p>
    <w:p>
      <w:pPr>
        <w:framePr w:w="1510" w:x="1798" w:y="198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1.</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编制基础</w:t>
      </w:r>
    </w:p>
    <w:p>
      <w:pPr>
        <w:framePr w:w="9110" w:x="1798" w:y="24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本公司根据实际发生的交易和事项，按照财政部颁布的《企业会计准则——基本准则》和具</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体企业会计准则、企业会计准则应用指南、企业会计准则解释及其他相关规定（以下合称“企业</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会计准则”）进行确认和计量，在此基础上，结合中国证券监督管理委员会《公开发行证券的公</w:t>
      </w:r>
    </w:p>
    <w:p>
      <w:pPr>
        <w:framePr w:w="9110" w:x="1798" w:y="24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司信息披露编报规则第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15</w:t>
      </w:r>
      <w:r>
        <w:rPr>
          <w:rFonts w:ascii="SimSun" w:hAnsi="SimSun" w:eastAsiaTheme="minorEastAsia" w:cs="SimSun"/>
          <w:color w:val="000000"/>
          <w:spacing w:val="-5"/>
          <w:sz w:val="21"/>
          <w:szCs w:val="22"/>
          <w:lang w:val="en-US" w:eastAsia="en-US" w:bidi="ar-SA"/>
        </w:rPr>
        <w:t>号——财务报告的一般规定》（</w:t>
      </w:r>
      <w:r>
        <w:rPr>
          <w:rFonts w:ascii="SimSun" w:eastAsiaTheme="minorEastAsia" w:hAnsiTheme="minorHAnsi" w:cstheme="minorBidi"/>
          <w:color w:val="000000"/>
          <w:sz w:val="21"/>
          <w:szCs w:val="22"/>
          <w:lang w:val="en-US" w:eastAsia="en-US" w:bidi="ar-SA"/>
        </w:rPr>
        <w:t>2014</w:t>
      </w:r>
      <w:r>
        <w:rPr>
          <w:rFonts w:ascii="SimSun" w:hAnsi="SimSun" w:eastAsiaTheme="minorEastAsia" w:cs="SimSun"/>
          <w:color w:val="000000"/>
          <w:spacing w:val="-5"/>
          <w:sz w:val="21"/>
          <w:szCs w:val="22"/>
          <w:lang w:val="en-US" w:eastAsia="en-US" w:bidi="ar-SA"/>
        </w:rPr>
        <w:t>年修订）的规定，编制财务报表。</w:t>
      </w:r>
    </w:p>
    <w:p>
      <w:pPr>
        <w:framePr w:w="1510" w:x="1798" w:y="442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2.</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持续经营</w:t>
      </w:r>
    </w:p>
    <w:p>
      <w:pPr>
        <w:framePr w:w="1817" w:x="1798" w:y="4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8" w:x="1798" w:y="531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本公司对报告期末起</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3"/>
          <w:sz w:val="21"/>
          <w:szCs w:val="22"/>
          <w:lang w:val="en-US" w:eastAsia="en-US" w:bidi="ar-SA"/>
        </w:rPr>
        <w:t>个月的持续经营能力进行了评价，未发现对持续经营能力产生重大怀</w:t>
      </w:r>
    </w:p>
    <w:p>
      <w:pPr>
        <w:framePr w:w="9078" w:x="1798" w:y="53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疑的事项或情况。因此，本财务报表系在持续经营假设的基础上编制。</w:t>
      </w:r>
    </w:p>
    <w:p>
      <w:pPr>
        <w:framePr w:w="2986" w:x="1798" w:y="64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五、重要会计政策及会计估计</w:t>
      </w:r>
    </w:p>
    <w:p>
      <w:pPr>
        <w:framePr w:w="3197" w:x="1798" w:y="6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具体会计政策和会计估计提示：</w:t>
      </w:r>
    </w:p>
    <w:p>
      <w:pPr>
        <w:framePr w:w="1817" w:x="1798" w:y="73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266" w:x="2218" w:y="7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以下披露内容已涵盖了本公司根据实际生产经营特点制定的具体会计政策及会计估计。</w:t>
      </w:r>
    </w:p>
    <w:p>
      <w:pPr>
        <w:framePr w:w="2986" w:x="1798" w:y="847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1.</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遵循企业会计准则的声明</w:t>
      </w:r>
    </w:p>
    <w:p>
      <w:pPr>
        <w:framePr w:w="9068" w:x="1798" w:y="89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本公司所编制的财务报表符合企业会计准则的要求，真实、完整地反映了公司的财务状况、</w:t>
      </w:r>
    </w:p>
    <w:p>
      <w:pPr>
        <w:framePr w:w="9068" w:x="1798" w:y="89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经营成果、股东权益变动和现金流量等有关信息。</w:t>
      </w:r>
    </w:p>
    <w:p>
      <w:pPr>
        <w:framePr w:w="1510" w:x="1798" w:y="1009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2.</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会计期间</w:t>
      </w:r>
    </w:p>
    <w:p>
      <w:pPr>
        <w:framePr w:w="5074" w:x="2218" w:y="104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本公司会计年度自公历</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日起至</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日止。</w:t>
      </w:r>
    </w:p>
    <w:p>
      <w:pPr>
        <w:framePr w:w="1510" w:x="1798" w:y="1116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3.</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营业周期</w:t>
      </w:r>
    </w:p>
    <w:p>
      <w:pPr>
        <w:framePr w:w="1817" w:x="1798" w:y="11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57" w:x="2218" w:y="12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本公司营业周期为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
          <w:sz w:val="21"/>
          <w:szCs w:val="22"/>
          <w:lang w:val="en-US" w:eastAsia="en-US" w:bidi="ar-SA"/>
        </w:rPr>
        <w:t>个月</w:t>
      </w:r>
    </w:p>
    <w:p>
      <w:pPr>
        <w:framePr w:w="1721" w:x="1798" w:y="1278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4.</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记账本位币</w:t>
      </w:r>
    </w:p>
    <w:p>
      <w:pPr>
        <w:framePr w:w="3197" w:x="2218" w:y="13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本公司的记账本位币为人民币。</w:t>
      </w:r>
    </w:p>
    <w:p>
      <w:pPr>
        <w:framePr w:w="5513" w:x="1798" w:y="1372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5.</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同一控制下和非同一控制下企业合并的会计处理方法</w:t>
      </w:r>
    </w:p>
    <w:p>
      <w:pPr>
        <w:framePr w:w="1817" w:x="1798" w:y="140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899" w:x="2218" w:y="143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分步实现企业合并过程中的各项交易的条款、条件以及经济影响符合以下一种或多种情况，</w:t>
      </w:r>
    </w:p>
    <w:p>
      <w:pPr>
        <w:framePr w:w="4464" w:x="1798" w:y="147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将多次交易事项作为一揽子交易进行会计处理</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49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1" type="#_x0000_t75" style="width:445.6pt;height:2.7pt;margin-top:53.65pt;margin-left:87.45pt;mso-position-horizontal-relative:page;mso-position-vertical-relative:page;position:absolute;z-index:-25160908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49" w:name="br1_48"/>
      <w:bookmarkEnd w:id="4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048"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）这些交易是同时或者在考虑了彼此影响的情况下订立的；</w:t>
      </w:r>
    </w:p>
    <w:p>
      <w:pPr>
        <w:framePr w:w="6048" w:x="221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）这些交易整体才能达成一项完整的商业结果；</w:t>
      </w:r>
    </w:p>
    <w:p>
      <w:pPr>
        <w:framePr w:w="5414"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）一项交易的发生取决于其他至少一项交易的发生；</w:t>
      </w:r>
    </w:p>
    <w:p>
      <w:pPr>
        <w:framePr w:w="7104" w:x="2218"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）一项交易单独看是不经济的，但是和其他交易一并考虑时是经济的。</w:t>
      </w:r>
    </w:p>
    <w:p>
      <w:pPr>
        <w:framePr w:w="7104" w:x="221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同一控制下的企业合并</w:t>
      </w:r>
    </w:p>
    <w:p>
      <w:pPr>
        <w:framePr w:w="9110"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本公司在企业合并中取得的资产和负债，按照合并日在被合并方资产、负债（包括最终控制</w:t>
      </w:r>
    </w:p>
    <w:p>
      <w:pPr>
        <w:framePr w:w="9110"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方收购被合并方而形成的商誉）在最终控制方合并财务报表中的账面价值计量。在合并中取得的</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净资产账面价值与支付的合并对价账面价值（或发行股份面值总额）的差额，调整资本公积中的</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股本溢价，资本公积中的股本溢价不足冲减的，调整留存收益。</w:t>
      </w:r>
    </w:p>
    <w:p>
      <w:pPr>
        <w:framePr w:w="9110" w:x="1798" w:y="52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如果存在或有对价并需要确认预计负债或资产，该预计负债或资产金额与后续或有对价结算</w:t>
      </w:r>
    </w:p>
    <w:p>
      <w:pPr>
        <w:framePr w:w="9110"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金额的差额，调整资本公积（资本溢价或股本溢价），资本公积不足的，调整留存收益。</w:t>
      </w:r>
    </w:p>
    <w:p>
      <w:pPr>
        <w:framePr w:w="9110" w:x="1798" w:y="521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对于通过多次交易最终实现企业合并的，属于一揽子交易的，将各项交易作为一项取得控制</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权的交易进行会计处理；不属于一揽子交易的，在取得控制权日，长期股权投资初始投资成本，</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与达到合并前的长期股权投资账面价值加上合并日进一步取得股份新支付对价的账面价值之和的</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差额，调整资本公积；资本公积不足冲减的，调整留存收益。对于合并日之前持有的股权投资，</w:t>
      </w:r>
    </w:p>
    <w:p>
      <w:pPr>
        <w:framePr w:w="9110"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因采用权益法核算或金融工具确认和计量准则核算而确认的其他综合收益，暂不进行会计处理，</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直至处置该项投资时采用与被投资单位直接处置相关资产或负债相同的基础进行会计处理；因采</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用权益法核算而确认的被投资单位净资产中除净损益、其他综合收益和利润分配以外的所有者权</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益其他变动，暂不进行会计处理，直至处置该项投资时转入当期损益。</w:t>
      </w:r>
    </w:p>
    <w:p>
      <w:pPr>
        <w:framePr w:w="9110" w:x="1798" w:y="5213"/>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非同一控制下的企业合并</w:t>
      </w:r>
    </w:p>
    <w:p>
      <w:pPr>
        <w:framePr w:w="9068" w:x="1798" w:y="97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购买日是指本公司实际取得对被购买方控制权的日期，即被购买方的净资产或生产经营决策</w:t>
      </w:r>
    </w:p>
    <w:p>
      <w:pPr>
        <w:framePr w:w="9068"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的控制权转移给本公司的日期。同时满足下列条件时，本公司一般认为实现了控制权的转移：</w:t>
      </w:r>
    </w:p>
    <w:p>
      <w:pPr>
        <w:framePr w:w="9068" w:x="1798" w:y="970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①企业合并合同或协议已获本公司内部权力机构通过。</w:t>
      </w:r>
    </w:p>
    <w:p>
      <w:pPr>
        <w:framePr w:w="6365" w:x="2218" w:y="10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②企业合并事项需要经过国家有关主管部门审批的，已获得批准。</w:t>
      </w:r>
    </w:p>
    <w:p>
      <w:pPr>
        <w:framePr w:w="3619" w:x="2218" w:y="11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③已办理了必要的财产权转移手续。</w:t>
      </w:r>
    </w:p>
    <w:p>
      <w:pPr>
        <w:framePr w:w="9068" w:x="1798" w:y="11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④本公司已支付了合并价款的大部分，并且有能力、有计划支付剩余款项。</w:t>
      </w:r>
    </w:p>
    <w:p>
      <w:pPr>
        <w:framePr w:w="9068" w:x="1798" w:y="11751"/>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⑤本公司实际上已经控制了被购买方的财务和经营政策，并享有相应的利益、承担相应的风</w:t>
      </w:r>
    </w:p>
    <w:p>
      <w:pPr>
        <w:framePr w:w="9068"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险。</w:t>
      </w:r>
    </w:p>
    <w:p>
      <w:pPr>
        <w:framePr w:w="9068" w:x="1798" w:y="129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本公司在购买日对作为企业合并对价付出的资产、发生或承担的负债按照公允价值计量，公</w:t>
      </w:r>
    </w:p>
    <w:p>
      <w:pPr>
        <w:framePr w:w="9068" w:x="1798" w:y="129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允价值与其账面价值的差额，计入当期损益。</w:t>
      </w:r>
    </w:p>
    <w:p>
      <w:pPr>
        <w:framePr w:w="9110"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本公司对合并成本大于合并中取得的被购买方可辨认净资产公允价值份额的差额，确认为商</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誉；合并成本小于合并中取得的被购买方可辨认净资产公允价值份额的差额，经复核后，计入当</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期损益。</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2" type="#_x0000_t75" style="width:445.6pt;height:2.7pt;margin-top:53.65pt;margin-left:87.45pt;mso-position-horizontal-relative:page;mso-position-vertical-relative:page;position:absolute;z-index:-25160806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0" w:name="br1_49"/>
      <w:bookmarkEnd w:id="5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通过多次交换交易分步实现的非同一控制下企业合并，属于一揽子交易的，将各项交易作为</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一项取得控制权的交易进行会计处理；不属于一揽子交易的，合并日之前持有的股权投资采用权</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益法核算的，以购买日之前所持被购买方的股权投资的账面价值与购买日新增投资成本之和，作</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为该项投资的初始投资成本；购买日之前持有的股权投资因采用权益法核算而确认的其他综合收</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益，在处置该项投资时采用与被投资单位直接处置相关资产或负债相同的基础进行会计处理。合</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并日之前持有的股权投资采用金融工具确认和计量准则核算的，以该股权投资在合并日的公允价</w:t>
      </w:r>
    </w:p>
    <w:p>
      <w:pPr>
        <w:framePr w:w="9110" w:x="1798" w:y="153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值加上新增投资成本之和，作为合并日的初始投资成本。原持有股权的公允价值与账面价值之间</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的差额以及原计入其他综合收益的累计公允价值变动应全部转入合并日当期的投资收益。</w:t>
      </w:r>
    </w:p>
    <w:p>
      <w:pPr>
        <w:framePr w:w="9110" w:x="1798" w:y="1535"/>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为合并发生的相关费用</w:t>
      </w:r>
    </w:p>
    <w:p>
      <w:pPr>
        <w:framePr w:w="9110" w:x="1798" w:y="52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为企业合并发生的审计、法律服务、评估咨询等中介费用以及其他直接相关费用，于发生时</w:t>
      </w:r>
    </w:p>
    <w:p>
      <w:pPr>
        <w:framePr w:w="9110"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计入当期损益；为企业合并而发行权益性证券的交易费用，可直接归属于权益性交易的从权益中</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扣减。</w:t>
      </w:r>
    </w:p>
    <w:p>
      <w:pPr>
        <w:framePr w:w="2986" w:x="1798" w:y="675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6.</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合并财务报表的编制方法</w:t>
      </w:r>
    </w:p>
    <w:p>
      <w:pPr>
        <w:framePr w:w="1817" w:x="1798" w:y="7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2218" w:y="73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合并范围</w:t>
      </w:r>
    </w:p>
    <w:p>
      <w:pPr>
        <w:framePr w:w="9069" w:x="1798" w:y="778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本公司合并财务报表的合并范围以控制为基础确定，所有子公司（包括本公司所控制的单独</w:t>
      </w:r>
    </w:p>
    <w:p>
      <w:pPr>
        <w:framePr w:w="9069" w:x="1798" w:y="77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主体）均纳入合并财务报表。</w:t>
      </w:r>
    </w:p>
    <w:p>
      <w:pPr>
        <w:framePr w:w="1296" w:x="2220" w:y="8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合并程序</w:t>
      </w:r>
    </w:p>
    <w:p>
      <w:pPr>
        <w:framePr w:w="9110" w:x="1798" w:y="901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本公司以自身和各子公司的财务报表为基础，根据其他有关资料，编制合并财务报表。本公</w:t>
      </w:r>
    </w:p>
    <w:p>
      <w:pPr>
        <w:framePr w:w="9110" w:x="1798" w:y="901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司编制合并财务报表，将整个企业集团视为一个会计主体，依据相关企业会计准则的确认、计量</w:t>
      </w:r>
    </w:p>
    <w:p>
      <w:pPr>
        <w:framePr w:w="9110" w:x="1798" w:y="901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和列报要求，按照统一的会计政策，反映本企业集团整体财务状况、经营成果和现金流量。</w:t>
      </w:r>
    </w:p>
    <w:p>
      <w:pPr>
        <w:framePr w:w="9110" w:x="1798" w:y="901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所有纳入合并财务报表合并范围的子公司所采用的会计政策、会计期间与本公司一致，如子</w:t>
      </w:r>
    </w:p>
    <w:p>
      <w:pPr>
        <w:framePr w:w="9110" w:x="1798" w:y="901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公司采用的会计政策、会计期间与本公司不一致的，在编制合并财务报表时，按本公司的会计政</w:t>
      </w:r>
    </w:p>
    <w:p>
      <w:pPr>
        <w:framePr w:w="9110" w:x="1798" w:y="901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策、会计期间进行必要的调整。</w:t>
      </w:r>
    </w:p>
    <w:p>
      <w:pPr>
        <w:framePr w:w="9110" w:x="1798" w:y="1146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合并财务报表时抵销本公司与各子公司、各子公司相互之间发生的内部交易对合并资产负债</w:t>
      </w:r>
    </w:p>
    <w:p>
      <w:pPr>
        <w:framePr w:w="9110" w:x="1798" w:y="114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表、合并利润表、合并现金流量表、合并股东权益变动表的影响。如果站在企业集团合并财务报</w:t>
      </w:r>
    </w:p>
    <w:p>
      <w:pPr>
        <w:framePr w:w="9110" w:x="1798" w:y="114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表角度与以本公司或子公司为会计主体对同一交易的认定不同时，从企业集团的角度对该交易予</w:t>
      </w:r>
    </w:p>
    <w:p>
      <w:pPr>
        <w:framePr w:w="9110" w:x="1798" w:y="114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以调整。</w:t>
      </w:r>
    </w:p>
    <w:p>
      <w:pPr>
        <w:framePr w:w="9110" w:x="1798" w:y="130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子公司所有者权益、当期净损益和当期综合收益中属于少数股东的份额分别在合并资产负债</w:t>
      </w:r>
    </w:p>
    <w:p>
      <w:pPr>
        <w:framePr w:w="9110" w:x="1798" w:y="1309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表中所有者权益项目下、合并利润表中净利润项目下和综合收益总额项目下单独列示。子公司少</w:t>
      </w:r>
    </w:p>
    <w:p>
      <w:pPr>
        <w:framePr w:w="9110" w:x="1798" w:y="130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数股东分担的当期亏损超过了少数股东在该子公司期初所有者权益中所享有份额而形成的余额，</w:t>
      </w:r>
    </w:p>
    <w:p>
      <w:pPr>
        <w:framePr w:w="9110" w:x="1798" w:y="130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冲减少数股东权益。</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3" type="#_x0000_t75" style="width:445.6pt;height:2.7pt;margin-top:53.65pt;margin-left:87.45pt;mso-position-horizontal-relative:page;mso-position-vertical-relative:page;position:absolute;z-index:-2516070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1" w:name="br1_50"/>
      <w:bookmarkEnd w:id="5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对于同一控制下企业合并取得的子公司，以其资产、负债（包括最终控制方收购该子公司而</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形成的商誉）在最终控制方财务报表中的账面价值为基础对其财务报表进行调整。</w:t>
      </w:r>
    </w:p>
    <w:p>
      <w:pPr>
        <w:framePr w:w="9068" w:x="1798" w:y="153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对于非同一控制下企业合并取得的子公司，以购买日可辨认净资产公允价值为基础对其财务</w:t>
      </w:r>
    </w:p>
    <w:p>
      <w:pPr>
        <w:framePr w:w="906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报表进行调整。</w:t>
      </w:r>
    </w:p>
    <w:p>
      <w:pPr>
        <w:framePr w:w="2458" w:x="2218" w:y="31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）增加子公司或业务</w:t>
      </w:r>
    </w:p>
    <w:p>
      <w:pPr>
        <w:framePr w:w="9110"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在报告期内，若因同一控制下企业合并增加子公司或业务的，则调整合并资产负债表的期初</w:t>
      </w:r>
    </w:p>
    <w:p>
      <w:pPr>
        <w:framePr w:w="9110"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数；将子公司或业务合并当期期初至报告期末的收入、费用、利润纳入合并利润表；将子公司或</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业务合并当期期初至报告期末的现金流量纳入合并现金流量表，同时对比较报表的相关项目进行</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调整，视同合并后的报告主体自最终控制方开始控制时点起一直存在。</w:t>
      </w:r>
    </w:p>
    <w:p>
      <w:pPr>
        <w:framePr w:w="9322" w:x="1798" w:y="52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因追加投资等原因能够对同一控制下的被投资方实施控制的，视同参与合并的各方在最终控</w:t>
      </w:r>
    </w:p>
    <w:p>
      <w:pPr>
        <w:framePr w:w="9322"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制方开始控制时即以目前的状态存在进行调整。在取得被合并方控制权之前持有的股权投资，在</w:t>
      </w:r>
    </w:p>
    <w:p>
      <w:pPr>
        <w:framePr w:w="9322"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取得原股权之日与合并方和被合并方同处于同一控制之日孰晚日起至合并日之间已确认有关损益、</w:t>
      </w:r>
    </w:p>
    <w:p>
      <w:pPr>
        <w:framePr w:w="9322"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其他综合收益以及其他净资产变动，分别冲减比较报表期间的期初留存收益或当期损益。</w:t>
      </w:r>
    </w:p>
    <w:p>
      <w:pPr>
        <w:framePr w:w="9322" w:x="1798" w:y="521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在报告期内，若因非同一控制下企业合并增加子公司或业务的，则不调整合并资产负债表期</w:t>
      </w:r>
    </w:p>
    <w:p>
      <w:pPr>
        <w:framePr w:w="9322"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初数；将该子公司或业务自购买日至报告期末的收入、费用、利润纳入合并利润表；该子公司或</w:t>
      </w:r>
    </w:p>
    <w:p>
      <w:pPr>
        <w:framePr w:w="9322"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业务自购买日至报告期末的现金流量纳入合并现金流量表。</w:t>
      </w:r>
    </w:p>
    <w:p>
      <w:pPr>
        <w:framePr w:w="9110" w:x="1798" w:y="80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因追加投资等原因能够对非同一控制下的被投资方实施控制的，对于购买日之前持有的被购</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买方的股权，本公司按照该股权在购买日的公允价值进行重新计量，公允价值与其账面价值的差</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额计入当期投资收益。购买日之前持有的被购买方的股权涉及权益法核算下的其他综合收益以及</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除净损益、其他综合收益和利润分配之外的其他所有者权益变动的，与其相关的其他综合收益、</w:t>
      </w:r>
    </w:p>
    <w:p>
      <w:pPr>
        <w:framePr w:w="9110" w:x="1798" w:y="807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其他所有者权益变动转为购买日所属当期投资收益，由于被投资方重新计量设定受益计划净负债</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或净资产变动而产生的其他综合收益除外。</w:t>
      </w:r>
    </w:p>
    <w:p>
      <w:pPr>
        <w:framePr w:w="2458" w:x="2218" w:y="10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）处置子公司或业务</w:t>
      </w:r>
    </w:p>
    <w:p>
      <w:pPr>
        <w:framePr w:w="1824" w:x="2218" w:y="10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）一般处理方法</w:t>
      </w:r>
    </w:p>
    <w:p>
      <w:pPr>
        <w:framePr w:w="9110"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在报告期内，本公司处置子公司或业务，则该子公司或业务期初至处置日的收入、费用、利</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润纳入合并利润表；该子公司或业务期初至处置日的现金流量纳入合并现金流量表。</w:t>
      </w:r>
    </w:p>
    <w:p>
      <w:pPr>
        <w:framePr w:w="9110" w:x="1798" w:y="1134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因处置部分股权投资或其他原因丧失了对被投资方控制权时，对于处置后的剩余股权投资，</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本公司按照其在丧失控制权日的公允价值进行重新计量。处置股权取得的对价与剩余股权公允价</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值之和，减去按原持股比例计算应享有原有子公司自购买日或合并日开始持续计算的净资产的份</w:t>
      </w:r>
    </w:p>
    <w:p>
      <w:pPr>
        <w:framePr w:w="9110" w:x="1798" w:y="1134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额与商誉之和的差额，计入丧失控制权当期的投资收益。与原有子公司股权投资相关的其他综合</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收益或除净损益、其他综合收益及利润分配之外的其他所有者权益变动，在丧失控制权时转为当</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期投资收益，由于被投资方重新计量设定受益计划净负债或净资产变动而产生的其他综合收益除</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外。</w:t>
      </w:r>
    </w:p>
    <w:p>
      <w:pPr>
        <w:framePr w:w="2035" w:x="221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）分步处置子公司</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4" type="#_x0000_t75" style="width:445.6pt;height:2.7pt;margin-top:53.65pt;margin-left:87.45pt;mso-position-horizontal-relative:page;mso-position-vertical-relative:page;position:absolute;z-index:-2516060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2" w:name="br1_51"/>
      <w:bookmarkEnd w:id="5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通过多次交易分步处置对子公司股权投资直至丧失控制权的，处置对子公司股权投资的各项</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交易的条款、条件以及经济影响符合以下一种或多种情况，通常表明应将多次交易事项作为一揽</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子交易进行会计处理：</w:t>
      </w:r>
    </w:p>
    <w:p>
      <w:pPr>
        <w:framePr w:w="5731" w:x="2218"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A.</w:t>
      </w:r>
      <w:r>
        <w:rPr>
          <w:rFonts w:ascii="SimSun" w:hAnsi="SimSun" w:eastAsiaTheme="minorEastAsia" w:cs="SimSun"/>
          <w:color w:val="000000"/>
          <w:sz w:val="21"/>
          <w:szCs w:val="22"/>
          <w:lang w:val="en-US" w:eastAsia="en-US" w:bidi="ar-SA"/>
        </w:rPr>
        <w:t>这些交易是同时或者在考虑了彼此影响的情况下订立的；</w:t>
      </w:r>
    </w:p>
    <w:p>
      <w:pPr>
        <w:framePr w:w="4675" w:x="2218" w:y="31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B.</w:t>
      </w:r>
      <w:r>
        <w:rPr>
          <w:rFonts w:ascii="SimSun" w:hAnsi="SimSun" w:eastAsiaTheme="minorEastAsia" w:cs="SimSun"/>
          <w:color w:val="000000"/>
          <w:sz w:val="21"/>
          <w:szCs w:val="22"/>
          <w:lang w:val="en-US" w:eastAsia="en-US" w:bidi="ar-SA"/>
        </w:rPr>
        <w:t>这些交易整体才能达成一项完整的商业结果；</w:t>
      </w:r>
    </w:p>
    <w:p>
      <w:pPr>
        <w:framePr w:w="5098" w:x="2218"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C.</w:t>
      </w:r>
      <w:r>
        <w:rPr>
          <w:rFonts w:ascii="SimSun" w:hAnsi="SimSun" w:eastAsiaTheme="minorEastAsia" w:cs="SimSun"/>
          <w:color w:val="000000"/>
          <w:sz w:val="21"/>
          <w:szCs w:val="22"/>
          <w:lang w:val="en-US" w:eastAsia="en-US" w:bidi="ar-SA"/>
        </w:rPr>
        <w:t>一项交易的发生取决于其他至少一项交易的发生；</w:t>
      </w:r>
    </w:p>
    <w:p>
      <w:pPr>
        <w:framePr w:w="9110" w:x="1798" w:y="39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D.</w:t>
      </w:r>
      <w:r>
        <w:rPr>
          <w:rFonts w:ascii="SimSun" w:hAnsi="SimSun" w:eastAsiaTheme="minorEastAsia" w:cs="SimSun"/>
          <w:color w:val="000000"/>
          <w:sz w:val="21"/>
          <w:szCs w:val="22"/>
          <w:lang w:val="en-US" w:eastAsia="en-US" w:bidi="ar-SA"/>
        </w:rPr>
        <w:t>一项交易单独看是不经济的，但是和其他交易一并考虑时是经济的。</w:t>
      </w:r>
    </w:p>
    <w:p>
      <w:pPr>
        <w:framePr w:w="9110" w:x="1798" w:y="398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处置对子公司股权投资直至丧失控制权的各项交易属于一揽子交易的，本公司将各项交易作</w:t>
      </w:r>
    </w:p>
    <w:p>
      <w:pPr>
        <w:framePr w:w="9110"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为一项处置子公司并丧失控制权的交易进行会计处理；但是，在丧失控制权之前每一次处置价款</w:t>
      </w:r>
    </w:p>
    <w:p>
      <w:pPr>
        <w:framePr w:w="9110"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与处置投资对应的享有该子公司净资产份额的差额，在合并财务报表中确认为其他综合收益，在</w:t>
      </w:r>
    </w:p>
    <w:p>
      <w:pPr>
        <w:framePr w:w="9110" w:x="1798" w:y="398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丧失控制权时一并转入丧失控制权当期的损益。</w:t>
      </w:r>
    </w:p>
    <w:p>
      <w:pPr>
        <w:framePr w:w="9184" w:x="1798" w:y="60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处置对子公司股权投资直至丧失控制权的各项交易不属于一揽子交易的，在丧失控制权之前，</w:t>
      </w:r>
    </w:p>
    <w:p>
      <w:pPr>
        <w:framePr w:w="9184"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按不丧失控制权的情况下部分处置对子公司的股权投资的相关政策进行会计处理；在丧失控制权</w:t>
      </w:r>
    </w:p>
    <w:p>
      <w:pPr>
        <w:framePr w:w="9184"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时，按处置子公司一般处理方法进行会计处理。</w:t>
      </w:r>
    </w:p>
    <w:p>
      <w:pPr>
        <w:framePr w:w="2669" w:x="2218" w:y="7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）购买子公司少数股权</w:t>
      </w:r>
    </w:p>
    <w:p>
      <w:pPr>
        <w:framePr w:w="9110" w:x="1798" w:y="76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本公司因购买少数股权新取得的长期股权投资与按照新增持股比例计算应享有子公司自购买</w:t>
      </w:r>
    </w:p>
    <w:p>
      <w:pPr>
        <w:framePr w:w="9110"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日（或合并日）开始持续计算的净资产份额之间的差额，调整合并资产负债表中的资本公积中的</w:t>
      </w:r>
    </w:p>
    <w:p>
      <w:pPr>
        <w:framePr w:w="9110"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股本溢价，资本公积中的股本溢价不足冲减的，调整留存收益。</w:t>
      </w:r>
    </w:p>
    <w:p>
      <w:pPr>
        <w:framePr w:w="5626" w:x="2218" w:y="88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）不丧失控制权的情况下部分处置对子公司的股权投资</w:t>
      </w:r>
    </w:p>
    <w:p>
      <w:pPr>
        <w:framePr w:w="9110" w:x="1798" w:y="92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在不丧失控制权的情况下因部分处置对子公司的长期股权投资而取得的处置价款与处置长期</w:t>
      </w:r>
    </w:p>
    <w:p>
      <w:pPr>
        <w:framePr w:w="9110"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股权投资相对应享有子公司自购买日或合并日开始持续计算的净资产份额之间的差额，调整合并</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资产负债表中的资本公积中的股本溢价，资本公积中的股本溢价不足冲减的，调整留存收益。</w:t>
      </w:r>
    </w:p>
    <w:p>
      <w:pPr>
        <w:framePr w:w="4250" w:x="1798" w:y="1083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7.</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合营安排分类及共同经营会计处理方法</w:t>
      </w:r>
    </w:p>
    <w:p>
      <w:pPr>
        <w:framePr w:w="1817" w:x="1798" w:y="111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2218" w:y="11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合营安排的分类</w:t>
      </w:r>
    </w:p>
    <w:p>
      <w:pPr>
        <w:framePr w:w="9068" w:x="1798" w:y="1200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本公司根据合营安排的结构、法律形式以及合营安排中约定的条款、其他相关事实和情况等</w:t>
      </w:r>
    </w:p>
    <w:p>
      <w:pPr>
        <w:framePr w:w="9068" w:x="1798" w:y="1200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因素，将合营安排分为共同经营和合营企业。</w:t>
      </w:r>
    </w:p>
    <w:p>
      <w:pPr>
        <w:framePr w:w="9110" w:x="1798" w:y="128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未通过单独主体达成的合营安排，划分为共同经营；通过单独主体达成的合营安排，通常划</w:t>
      </w:r>
    </w:p>
    <w:p>
      <w:pPr>
        <w:framePr w:w="9110" w:x="1798" w:y="128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分为合营企业；但有确凿证据表明满足下列任一条件并且符合相关法律法规规定的合营安排划分</w:t>
      </w:r>
    </w:p>
    <w:p>
      <w:pPr>
        <w:framePr w:w="9110" w:x="1798" w:y="128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为共同经营：</w:t>
      </w:r>
    </w:p>
    <w:p>
      <w:pPr>
        <w:framePr w:w="9078" w:x="1798" w:y="140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）合营安排的法律形式表明，合营方对该安排中的相关资产和负债分别享有权利和承担义</w:t>
      </w:r>
    </w:p>
    <w:p>
      <w:pPr>
        <w:framePr w:w="9078" w:x="1798" w:y="140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务。</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5" type="#_x0000_t75" style="width:445.6pt;height:2.7pt;margin-top:53.65pt;margin-left:87.45pt;mso-position-horizontal-relative:page;mso-position-vertical-relative:page;position:absolute;z-index:-2516049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3" w:name="br1_52"/>
      <w:bookmarkEnd w:id="5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879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）合营安排的合同条款约定，合营方对该安排中的相关资产和负债分别享有权利和承担义</w:t>
      </w:r>
    </w:p>
    <w:p>
      <w:pPr>
        <w:framePr w:w="662"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务。</w:t>
      </w:r>
    </w:p>
    <w:p>
      <w:pPr>
        <w:framePr w:w="8794"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）其他相关事实和情况表明，合营方对该安排中的相关资产和负债分别享有权利和承担义</w:t>
      </w:r>
    </w:p>
    <w:p>
      <w:pPr>
        <w:framePr w:w="9110" w:x="1798"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务，如合营方享有与合营安排相关的几乎所有产出，并且该安排中负债的清偿持续依赖于合营方</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的支持。</w:t>
      </w:r>
    </w:p>
    <w:p>
      <w:pPr>
        <w:framePr w:w="2563" w:x="2220"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共同经营会计处理方法</w:t>
      </w:r>
    </w:p>
    <w:p>
      <w:pPr>
        <w:framePr w:w="9068" w:x="1798" w:y="39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本公司确认共同经营中利益份额中与本公司相关的下列项目，并按照相关企业会计准则的规</w:t>
      </w:r>
    </w:p>
    <w:p>
      <w:pPr>
        <w:framePr w:w="9068"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定进行会计处理：</w:t>
      </w:r>
    </w:p>
    <w:p>
      <w:pPr>
        <w:framePr w:w="6470" w:x="2218" w:y="48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）确认单独所持有的资产，以及按其份额确认共同持有的资产；</w:t>
      </w:r>
    </w:p>
    <w:p>
      <w:pPr>
        <w:framePr w:w="6470" w:x="221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）确认单独所承担的负债，以及按其份额确认共同承担的负债；</w:t>
      </w:r>
    </w:p>
    <w:p>
      <w:pPr>
        <w:framePr w:w="6470" w:x="2218" w:y="480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）确认出售其享有的共同经营产出份额所产生的收入；</w:t>
      </w:r>
    </w:p>
    <w:p>
      <w:pPr>
        <w:framePr w:w="5414" w:x="2218" w:y="6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）按其份额确认共同经营因出售产出所产生的收入；</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）确认单独所发生的费用，以及按其份额确认共同经营发生的费用。</w:t>
      </w:r>
    </w:p>
    <w:p>
      <w:pPr>
        <w:framePr w:w="9110" w:x="1798" w:y="643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本公司向共同经营投出或出售资产等（该资产构成业务的除外），在该资产等由共同经营出</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售给第三方之前，仅确认因该交易产生的损益中归属于共同经营其他参与方的部分。投出或出售</w:t>
      </w:r>
    </w:p>
    <w:p>
      <w:pPr>
        <w:framePr w:w="9110" w:x="1798" w:y="643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的资产发生符合《企业会计准则第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号——资产减值》等规定的资产减值损失的，本公司全额确</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认该损失。</w:t>
      </w:r>
    </w:p>
    <w:p>
      <w:pPr>
        <w:framePr w:w="9110" w:x="1798" w:y="84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本公司自共同经营购买资产等（该资产构成业务的除外），在将该资产等出售给第三方之前，</w:t>
      </w:r>
    </w:p>
    <w:p>
      <w:pPr>
        <w:framePr w:w="9110" w:x="179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仅确认因该交易产生的损益中归属于共同经营其他参与方的部分。购入的资产发生符合《企业会</w:t>
      </w:r>
    </w:p>
    <w:p>
      <w:pPr>
        <w:framePr w:w="9110" w:x="179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号——资产减值》等规定的资产减值损失的，本公司按承担的份额确认该部分损失。</w:t>
      </w:r>
    </w:p>
    <w:p>
      <w:pPr>
        <w:framePr w:w="9110" w:x="1798" w:y="8482"/>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本公司对共同经营不享有共同控制，如果本公司享有该共同经营相关资产且承担该共同经营</w:t>
      </w:r>
    </w:p>
    <w:p>
      <w:pPr>
        <w:framePr w:w="9110" w:x="179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相关负债的，仍按上述原则进行会计处理，否则，应当按照相关企业会计准则的规定进行会计处</w:t>
      </w:r>
    </w:p>
    <w:p>
      <w:pPr>
        <w:framePr w:w="9110" w:x="179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理。</w:t>
      </w:r>
    </w:p>
    <w:p>
      <w:pPr>
        <w:framePr w:w="3406" w:x="1798" w:y="1124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8.</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现金及现金等价物的确定标准</w:t>
      </w:r>
    </w:p>
    <w:p>
      <w:pPr>
        <w:framePr w:w="9110" w:x="1798" w:y="1173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在编制现金流量表时，将本公司库存现金以及可以随时用于支付的存款确认为现金。将同时</w:t>
      </w:r>
    </w:p>
    <w:p>
      <w:pPr>
        <w:framePr w:w="9110" w:x="1798" w:y="1173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具备期限短（一般从购买日起三个月内到期）、流动性强、易于转换为已知金额的现金、价值变</w:t>
      </w:r>
    </w:p>
    <w:p>
      <w:pPr>
        <w:framePr w:w="9110" w:x="1798" w:y="1173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动风险很小四个条件的投资，确定为现金等价物。</w:t>
      </w:r>
    </w:p>
    <w:p>
      <w:pPr>
        <w:framePr w:w="2986" w:x="1798" w:y="1327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9.</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外币业务和外币报表折算</w:t>
      </w:r>
    </w:p>
    <w:p>
      <w:pPr>
        <w:framePr w:w="1817" w:x="1798" w:y="136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403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外币业务交易在初始确认时，采用交易发生日的即期汇率作为折算汇率折合成人民币记账。</w:t>
      </w:r>
    </w:p>
    <w:p>
      <w:pPr>
        <w:framePr w:w="9110" w:x="1798" w:y="1403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资产负债表日，外币货币性项目按资产负债表日即期汇率折算，由此产生的汇兑差额，除属</w:t>
      </w:r>
    </w:p>
    <w:p>
      <w:pPr>
        <w:framePr w:w="9110" w:x="1798" w:y="1403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于与购建符合资本化条件的资产相关的外币专门借款产生的汇兑差额按照借款费用资本化的原则</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6" type="#_x0000_t75" style="width:445.6pt;height:2.7pt;margin-top:53.65pt;margin-left:87.45pt;mso-position-horizontal-relative:page;mso-position-vertical-relative:page;position:absolute;z-index:-25160396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4" w:name="br1_53"/>
      <w:bookmarkEnd w:id="5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处理外，均计入当期损益。以历史成本计量的外币非货币性项目，仍采用交易发生日的即期汇率</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折算，不改变其记账本位币金额。</w:t>
      </w:r>
    </w:p>
    <w:p>
      <w:pPr>
        <w:framePr w:w="9110"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以公允价值计量的外币非货币性项目，采用公允价值确定日的即期汇率折算，由此产生的汇</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兑差额作为公允价值变动损益计入当期损益。如属于可供出售外币非货币性项目的，形成的汇兑</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差额计入其他综合收益。</w:t>
      </w:r>
    </w:p>
    <w:p>
      <w:pPr>
        <w:framePr w:w="1510" w:x="1798" w:y="389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10.</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金融工具</w:t>
      </w:r>
    </w:p>
    <w:p>
      <w:pPr>
        <w:framePr w:w="1817" w:x="1798" w:y="42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465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在本公司成为金融工具合同的一方时确认一项金融资产或金融负债。</w:t>
      </w:r>
    </w:p>
    <w:p>
      <w:pPr>
        <w:framePr w:w="9068" w:x="1798" w:y="465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实际利率法是指计算金融资产或金融负债的摊余成本以及将利息收入或利息费用分摊计入各</w:t>
      </w:r>
    </w:p>
    <w:p>
      <w:pPr>
        <w:framePr w:w="9068" w:x="1798" w:y="465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会计期间的方法。</w:t>
      </w:r>
    </w:p>
    <w:p>
      <w:pPr>
        <w:framePr w:w="9110" w:x="1798" w:y="58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实际利率，是指将金融资产或金融负债在预计存续期的估计未来现金流量，折现为该金融资</w:t>
      </w:r>
    </w:p>
    <w:p>
      <w:pPr>
        <w:framePr w:w="9110" w:x="1798" w:y="58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产账面余额或该金融负债摊余成本所使用的利率。在确定实际利率时，在考虑金融资产或金融负</w:t>
      </w:r>
    </w:p>
    <w:p>
      <w:pPr>
        <w:framePr w:w="9110" w:x="1798" w:y="58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债所有合同条款</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如提前还款、展期、看涨期权或其他类似期权等</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的基础上估计预期现金流量，</w:t>
      </w:r>
    </w:p>
    <w:p>
      <w:pPr>
        <w:framePr w:w="9110" w:x="1798" w:y="58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但不考虑预期信用损失。</w:t>
      </w:r>
    </w:p>
    <w:p>
      <w:pPr>
        <w:framePr w:w="9110" w:x="1798" w:y="751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金融资产或金融负债的摊余成本是以该金融资产或金融负债的初始确认金额扣除已偿还的本</w:t>
      </w:r>
    </w:p>
    <w:p>
      <w:pPr>
        <w:framePr w:w="9110" w:x="1798" w:y="75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金，加上或减去采用实际利率法将该初始确认金额与到期日金额之间的差额进行摊销形成的累计</w:t>
      </w:r>
    </w:p>
    <w:p>
      <w:pPr>
        <w:framePr w:w="9110" w:x="1798" w:y="751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摊销额，再扣除累计计提的损失准备</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仅适用于金融资产</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2458" w:x="2220" w:y="8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．金融资产分类和计量</w:t>
      </w:r>
    </w:p>
    <w:p>
      <w:pPr>
        <w:framePr w:w="9068" w:x="1798" w:y="914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本公司根据所管理金融资产的业务模式和金融资产的合同现金流量特征，将金融资产划分为</w:t>
      </w:r>
    </w:p>
    <w:p>
      <w:pPr>
        <w:framePr w:w="9068" w:x="1798" w:y="91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以下三类：</w:t>
      </w:r>
    </w:p>
    <w:p>
      <w:pPr>
        <w:framePr w:w="3514" w:x="2218" w:y="99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）以摊余成本计量的金融资产。</w:t>
      </w:r>
    </w:p>
    <w:p>
      <w:pPr>
        <w:framePr w:w="6048" w:x="2218" w:y="10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）以公允价值计量且其变动计入其他综合收益的金融资产。</w:t>
      </w:r>
    </w:p>
    <w:p>
      <w:pPr>
        <w:framePr w:w="6048" w:x="2218" w:y="103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）以公允价值计量且其变动计入当期损益的金融资产。</w:t>
      </w:r>
    </w:p>
    <w:p>
      <w:pPr>
        <w:framePr w:w="9068" w:x="1798" w:y="111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金融资产在初始确认时以公允价值计量，但是因销售商品或提供服务等产生的应收账款或应</w:t>
      </w:r>
    </w:p>
    <w:p>
      <w:pPr>
        <w:framePr w:w="9068" w:x="1798" w:y="111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收票据未包含重大融资成分或不考虑不超过一年的融资成分的，按照交易价格进行初始计量。</w:t>
      </w:r>
    </w:p>
    <w:p>
      <w:pPr>
        <w:framePr w:w="9068" w:x="1798" w:y="11189"/>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对于以公允价值计量且其变动计入当期损益的金融资产，相关交易费用直接计入当期损益，</w:t>
      </w:r>
    </w:p>
    <w:p>
      <w:pPr>
        <w:framePr w:w="9068" w:x="1798" w:y="111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其他类别的金融资产相关交易费用计入其初始确认金额。</w:t>
      </w:r>
    </w:p>
    <w:p>
      <w:pPr>
        <w:framePr w:w="9068" w:x="1798" w:y="128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金融资产的后续计量取决于其分类，当且仅当本公司改变管理金融资产的业务模式时，才对</w:t>
      </w:r>
    </w:p>
    <w:p>
      <w:pPr>
        <w:framePr w:w="9068" w:x="1798" w:y="1282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所有受影响的相关金融资产进行重分类。</w:t>
      </w:r>
    </w:p>
    <w:p>
      <w:pPr>
        <w:framePr w:w="3936" w:x="2218" w:y="136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）分类为以摊余成本计量的金融资产</w:t>
      </w:r>
    </w:p>
    <w:p>
      <w:pPr>
        <w:framePr w:w="9110" w:x="1798" w:y="140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金融资产的合同条款规定在特定日期产生的现金流量仅为对本金和以未偿付本金金额为基础</w:t>
      </w:r>
    </w:p>
    <w:p>
      <w:pPr>
        <w:framePr w:w="9110" w:x="1798" w:y="140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的利息的支付，且管理该金融资产的业务模式是以收取合同现金流量为目标，则本公司将该金融</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7" type="#_x0000_t75" style="width:445.6pt;height:2.7pt;margin-top:53.65pt;margin-left:87.45pt;mso-position-horizontal-relative:page;mso-position-vertical-relative:page;position:absolute;z-index:-25160294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5" w:name="br1_54"/>
      <w:bookmarkEnd w:id="5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322"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资产分类为以摊余成本计量的金融资产。本公司分类为以摊余成本计量的金融资产包括货币资金、</w:t>
      </w:r>
    </w:p>
    <w:p>
      <w:pPr>
        <w:framePr w:w="9322"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应收票据及应收账款、其他应收款、长期应收款、债权投资等。</w:t>
      </w:r>
    </w:p>
    <w:p>
      <w:pPr>
        <w:framePr w:w="9110"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本公司对此类金融资产采用实际利率法确认利息收入，按摊余成本进行后续计量，其发生减</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值时或终止确认、修改产生的利得或损失，计入当期损益。除下列情况外，本公司根据金融资产</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账面余额乘以实际利率计算确定利息收入：</w:t>
      </w:r>
    </w:p>
    <w:p>
      <w:pPr>
        <w:framePr w:w="9078"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）对于购入或源生的已发生信用减值的金融资产，本公司自初始确认起，按照该金融资产的</w:t>
      </w:r>
    </w:p>
    <w:p>
      <w:pPr>
        <w:framePr w:w="9078"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摊余成本和经信用调整的实际利率计算确定其利息收入。</w:t>
      </w:r>
    </w:p>
    <w:p>
      <w:pPr>
        <w:framePr w:w="9110"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）对于购入或源生的未发生信用减值、但在后续期间成为已发生信用减值的金融资产，本公</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司在后续期间，按照该金融资产的摊余成本和实际利率计算确定其利息收入。若该金融工具在后</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续期间因其信用风险有所改善而不再存在信用减值，本公司转按实际利率乘以该金融资产账面余</w:t>
      </w:r>
    </w:p>
    <w:p>
      <w:pPr>
        <w:framePr w:w="9110" w:x="1798" w:y="439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额来计算确定利息收入。</w:t>
      </w:r>
    </w:p>
    <w:p>
      <w:pPr>
        <w:framePr w:w="6470" w:x="2218" w:y="6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）分类为以公允价值计量且其变动计入其他综合收益的金融资产</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金融资产的合同条款规定在特定日期产生的现金流量仅为对本金和以未偿付本金金额为基础</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的利息的支付，且管理该金融资产的业务模式既以收取合同现金流量为目标又以出售该金融资产</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为目标，则本公司将该金融资产分类为以公允价值计量且其变动计入其他综合收益的金融资产。</w:t>
      </w:r>
    </w:p>
    <w:p>
      <w:pPr>
        <w:framePr w:w="9110" w:x="1798" w:y="6439"/>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本公司对此类金融资产采用实际利率法确认利息收入。除利息收入、减值损失及汇兑差额确</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认为当期损益外，其余公允价值变动计入其他综合收益。当该金融资产终止确认时，之前计入其</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他综合收益的累计利得或损失从其他综合收益中转出，计入当期损益。</w:t>
      </w:r>
    </w:p>
    <w:p>
      <w:pPr>
        <w:framePr w:w="9110" w:x="1798" w:y="88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以公允价值计量且变动计入其他综合收益的应收票据及应收账款列报为应收款项融资，其他</w:t>
      </w:r>
    </w:p>
    <w:p>
      <w:pPr>
        <w:framePr w:w="9110"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此类金融资产列报为其他债权投资，其中：自资产负债表日起一年内到期的其他债权投资列报为</w:t>
      </w:r>
    </w:p>
    <w:p>
      <w:pPr>
        <w:framePr w:w="9110" w:x="1798" w:y="88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一年内到期的非流动资产，原到期日在一年以内的其他债权投资列报为其他流动资产。</w:t>
      </w:r>
    </w:p>
    <w:p>
      <w:pPr>
        <w:framePr w:w="9110" w:x="1798" w:y="889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）指定为以公允价值计量且其变动计入其他综合收益的金融资产</w:t>
      </w:r>
    </w:p>
    <w:p>
      <w:pPr>
        <w:framePr w:w="9068" w:x="1798" w:y="105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在初始确认时，本公司可以单项金融资产为基础不可撤销地将非交易性权益工具投资指定为</w:t>
      </w:r>
    </w:p>
    <w:p>
      <w:pPr>
        <w:framePr w:w="9068" w:x="1798" w:y="10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以公允价值计量且其变动计入其他综合收益的金融资产。</w:t>
      </w:r>
    </w:p>
    <w:p>
      <w:pPr>
        <w:framePr w:w="9110"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此类金融资产的公允价值变动计入其他综合收益，不需计提减值准备。该金融资产终止确认</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时，之前计入其他综合收益的累计利得或损失从其他综合收益中转出，计入留存收益。本公司持</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有该权益工具投资期间，在本公司收取股利的权利已经确立，与股利相关的经济利益很可能流入</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本公司，且股利的金额能够可靠计量时，确认股利收入并计入当期损益。本公司对此类金融资产</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在其他权益工具投资项目下列报。</w:t>
      </w:r>
    </w:p>
    <w:p>
      <w:pPr>
        <w:framePr w:w="9184" w:x="1798" w:y="1338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权益工具投资满足下列条件之一的，属于以公允价值计量且其变动计入当期损益的金融资产：</w:t>
      </w:r>
    </w:p>
    <w:p>
      <w:pPr>
        <w:framePr w:w="9184" w:x="1798" w:y="13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取得该金融资产的目的主要是为了近期出售；初始确认时属于集中管理的可辨认金融资产工具组</w:t>
      </w:r>
    </w:p>
    <w:p>
      <w:pPr>
        <w:framePr w:w="9184" w:x="1798" w:y="13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合的一部分，且有客观证据表明近期实际存在短期获利模式；属于衍生工具（符合财务担保合同</w:t>
      </w:r>
    </w:p>
    <w:p>
      <w:pPr>
        <w:framePr w:w="9184" w:x="1798" w:y="13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定义的以及被指定为有效套期工具的衍生工具除外）。</w:t>
      </w:r>
    </w:p>
    <w:p>
      <w:pPr>
        <w:framePr w:w="6048" w:x="221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）分类为以公允价值计量且其变动计入当期损益的金融资产</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8" type="#_x0000_t75" style="width:445.6pt;height:2.7pt;margin-top:53.65pt;margin-left:87.45pt;mso-position-horizontal-relative:page;mso-position-vertical-relative:page;position:absolute;z-index:-25160192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6" w:name="br1_55"/>
      <w:bookmarkEnd w:id="5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287"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不符合分类为以摊余成本计量或以公允价值计量且其变动计入其他综合收益的金融资产条件、</w:t>
      </w:r>
    </w:p>
    <w:p>
      <w:pPr>
        <w:framePr w:w="9287"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亦不指定为以公允价值计量且其变动计入其他综合收益的金融资产均分类为以公允价值计量且其</w:t>
      </w:r>
    </w:p>
    <w:p>
      <w:pPr>
        <w:framePr w:w="9287"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变动计入当期损益的金融资产。</w:t>
      </w:r>
    </w:p>
    <w:p>
      <w:pPr>
        <w:framePr w:w="9068"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本公司对此类金融资产采用公允价值进行后续计量，将公允价值变动形成的利得或损失以及</w:t>
      </w:r>
    </w:p>
    <w:p>
      <w:pPr>
        <w:framePr w:w="9068"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与此类金融资产相关的股利和利息收入计入当期损益。</w:t>
      </w:r>
    </w:p>
    <w:p>
      <w:pPr>
        <w:framePr w:w="8477" w:x="2218"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本公司对此类金融资产根据其流动性在交易性金融资产、其他非流动金融资产项目列报。</w:t>
      </w:r>
    </w:p>
    <w:p>
      <w:pPr>
        <w:framePr w:w="8477" w:x="221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）指定为以公允价值计量且其变动计入当期损益的金融资产</w:t>
      </w:r>
    </w:p>
    <w:p>
      <w:pPr>
        <w:framePr w:w="9068"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在初始确认时，本公司为了消除或显著减少会计错配，可以单项金融资产为基础不可撤销地</w:t>
      </w:r>
    </w:p>
    <w:p>
      <w:pPr>
        <w:framePr w:w="9068"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将金融资产指定为以公允价值计量且其变动计入当期损益的金融资产。</w:t>
      </w:r>
    </w:p>
    <w:p>
      <w:pPr>
        <w:framePr w:w="9068" w:x="1798" w:y="439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混合合同包含一项或多项嵌入衍生工具，且其主合同不属于以上金融资产的，本公司可以将</w:t>
      </w:r>
    </w:p>
    <w:p>
      <w:pPr>
        <w:framePr w:w="9068" w:x="1798" w:y="439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其整体指定为以公允价值计量且其变动计入当期损益的金融工具。但下列情况除外：</w:t>
      </w:r>
    </w:p>
    <w:p>
      <w:pPr>
        <w:framePr w:w="9068" w:x="1798" w:y="439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）嵌入衍生工具不会对混合合同的现金流量产生重大改变。</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）在初次确定类似的混合合同是否需要分拆时，几乎不需分析就能明确其包含的嵌入衍生工</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具不应分拆。如嵌入贷款的提前还款权，允许持有人以接近摊余成本的金额提前偿还贷款，该提</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前还款权不需要分拆。</w:t>
      </w:r>
    </w:p>
    <w:p>
      <w:pPr>
        <w:framePr w:w="9068" w:x="1798" w:y="76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本公司对此类金融资产采用公允价值进行后续计量，将公允价值变动形成的利得或损失以及</w:t>
      </w:r>
    </w:p>
    <w:p>
      <w:pPr>
        <w:framePr w:w="9068"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与此类金融资产相关的股利和利息收入计入当期损益。</w:t>
      </w:r>
    </w:p>
    <w:p>
      <w:pPr>
        <w:framePr w:w="8477" w:x="2218" w:y="8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本公司对此类金融资产根据其流动性在交易性金融资产、其他非流动金融资产项目列报。</w:t>
      </w:r>
    </w:p>
    <w:p>
      <w:pPr>
        <w:framePr w:w="8477" w:x="221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．金融负债分类和计量</w:t>
      </w:r>
    </w:p>
    <w:p>
      <w:pPr>
        <w:framePr w:w="9110" w:x="1798" w:y="92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本公司根据所发行金融工具的合同条款及其所反映的经济实质而非仅以法律形式，结合金融</w:t>
      </w:r>
    </w:p>
    <w:p>
      <w:pPr>
        <w:framePr w:w="9110"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负债和权益工具的定义，在初始确认时将该金融工具或其组成部分分类为金融负债或权益工具。</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金融负债在初始确认时分类为：以公允价值计量且其变动计入当期损益的金融负债、其他金融负</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债、被指定为有效套期工具的衍生工具。</w:t>
      </w:r>
    </w:p>
    <w:p>
      <w:pPr>
        <w:framePr w:w="9110" w:x="1798" w:y="109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金融负债在初始确认时以公允价值计量。对于以公允价值计量且其变动计入当期损益的金融</w:t>
      </w:r>
    </w:p>
    <w:p>
      <w:pPr>
        <w:framePr w:w="9110" w:x="1798" w:y="109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负债，相关的交易费用直接计入当期损益；对于其他类别的金融负债，相关交易费用计入初始确</w:t>
      </w:r>
    </w:p>
    <w:p>
      <w:pPr>
        <w:framePr w:w="9110" w:x="1798" w:y="109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认金额。</w:t>
      </w:r>
    </w:p>
    <w:p>
      <w:pPr>
        <w:framePr w:w="3619" w:x="2218" w:y="12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金融负债的后续计量取决于其分类：</w:t>
      </w:r>
    </w:p>
    <w:p>
      <w:pPr>
        <w:framePr w:w="5414" w:x="2218" w:y="12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）以公允价值计量且其变动计入当期损益的金融负债</w:t>
      </w:r>
    </w:p>
    <w:p>
      <w:pPr>
        <w:framePr w:w="9068" w:x="1798" w:y="129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此类金融负债包括交易性金融负债（含属于金融负债的衍生工具）和初始确认时指定为以公</w:t>
      </w:r>
    </w:p>
    <w:p>
      <w:pPr>
        <w:framePr w:w="9068" w:x="1798" w:y="129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允价值计量且其变动计入当期损益的金融负债。</w:t>
      </w:r>
    </w:p>
    <w:p>
      <w:pPr>
        <w:framePr w:w="9110"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满足下列条件之一的，属于交易性金融负债：承担相关金融负债的目的主要是为了在近期内</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出售或回购；属于集中管理的可辨认金融工具组合的一部分，且有客观证据表明企业近期采用短</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期获利方式模式；属于衍生工具，但是，被指定且为有效套期工具的衍生工具、符合财务担保合</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39" type="#_x0000_t75" style="width:445.6pt;height:2.7pt;margin-top:53.65pt;margin-left:87.45pt;mso-position-horizontal-relative:page;mso-position-vertical-relative:page;position:absolute;z-index:-25160089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7" w:name="br1_56"/>
      <w:bookmarkEnd w:id="5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同的衍生工具除外。交易性金融负债（含属于金融负债的衍生工具），按照公允价值进行后续计</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量，除与套期会计有关外，所有公允价值变动均计入当期损益。</w:t>
      </w:r>
    </w:p>
    <w:p>
      <w:pPr>
        <w:framePr w:w="9068"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在初始确认时，为了提供更相关的会计信息，本公司将满足下列条件之一的金融负债不可撤</w:t>
      </w:r>
    </w:p>
    <w:p>
      <w:pPr>
        <w:framePr w:w="9068"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销地指定为以公允价值计量且其变动计入当期损益的金融负债：</w:t>
      </w:r>
    </w:p>
    <w:p>
      <w:pPr>
        <w:framePr w:w="3514" w:x="2218" w:y="31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）能够消除或显著减少会计错配。</w:t>
      </w:r>
    </w:p>
    <w:p>
      <w:pPr>
        <w:framePr w:w="9110"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）根据正式书面文件载明的企业风险管理或投资策略，以公允价值为基础对金融负债组合或</w:t>
      </w:r>
    </w:p>
    <w:p>
      <w:pPr>
        <w:framePr w:w="9110"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金融资产和金融负债组合进行管理和业绩评价，并在企业内部以此为基础向关键管理人员报告。</w:t>
      </w:r>
    </w:p>
    <w:p>
      <w:pPr>
        <w:framePr w:w="9110" w:x="1798" w:y="357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本公司对此类金融负债采用公允价值进行后续计量，除由本公司自身信用风险变动引起的公</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允价值变动计入其他综合收益之外，其他公允价值变动计入当期损益。除非由本公司自身信用风</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险变动引起的公允价值变动计入其他综合收益会造成或扩大损益中的会计错配，本公司将所有公</w:t>
      </w:r>
    </w:p>
    <w:p>
      <w:pPr>
        <w:framePr w:w="9110"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允价值变动（包括自身信用风险变动的影响金额）计入当期损益。</w:t>
      </w:r>
    </w:p>
    <w:p>
      <w:pPr>
        <w:framePr w:w="9110" w:x="1798" w:y="357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）其他金融负债</w:t>
      </w:r>
    </w:p>
    <w:p>
      <w:pPr>
        <w:framePr w:w="9068"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除下列各项外，公司将金融负债分类为以摊余成本计量的金融负债，对此类金融负债采用实</w:t>
      </w:r>
    </w:p>
    <w:p>
      <w:pPr>
        <w:framePr w:w="9068"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际利率法，按照摊余成本进行后续计量，终止确认或摊销产生的利得或损失计入当期损益：</w:t>
      </w:r>
    </w:p>
    <w:p>
      <w:pPr>
        <w:framePr w:w="9068" w:x="1798" w:y="643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）以公允价值计量且其变动计入当期损益的金融负债。</w:t>
      </w:r>
    </w:p>
    <w:p>
      <w:pPr>
        <w:framePr w:w="9078" w:x="1798" w:y="76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）金融资产转移不符合终止确认条件或继续涉入被转移金融资产所形成的金融负债。</w:t>
      </w:r>
    </w:p>
    <w:p>
      <w:pPr>
        <w:framePr w:w="9078" w:x="1798" w:y="766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）不属于本条前两类情形的财务担保合同，以及不属于本条第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）类情形的以低于市场利率</w:t>
      </w:r>
    </w:p>
    <w:p>
      <w:pPr>
        <w:framePr w:w="9078"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贷款的贷款承诺。</w:t>
      </w:r>
    </w:p>
    <w:p>
      <w:pPr>
        <w:framePr w:w="9110" w:x="1798" w:y="88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财务担保合同是指当特定债务人到期不能按照最初或修改后的债务工具条款偿付债务时，要</w:t>
      </w:r>
    </w:p>
    <w:p>
      <w:pPr>
        <w:framePr w:w="9110"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求发行方向蒙受损失的合同持有人赔付特定金额的合同。不属于指定为以公允价值计量且其变动</w:t>
      </w:r>
    </w:p>
    <w:p>
      <w:pPr>
        <w:framePr w:w="9110" w:x="1798" w:y="88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计入当期损益的金融负债的财务担保合同，在初始确认后按照损失准备金额以及初始确认金额扣</w:t>
      </w:r>
    </w:p>
    <w:p>
      <w:pPr>
        <w:framePr w:w="9110"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除担保期内的累计摊销额后的余额孰高进行计量。</w:t>
      </w:r>
    </w:p>
    <w:p>
      <w:pPr>
        <w:framePr w:w="3514" w:x="2220" w:y="10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．金融资产和金融负债的终止确认</w:t>
      </w:r>
    </w:p>
    <w:p>
      <w:pPr>
        <w:framePr w:w="9078" w:x="1798" w:y="109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）金融资产满足下列条件之一的，终止确认金融资产，即从其账户和资产负债表内予以转</w:t>
      </w:r>
    </w:p>
    <w:p>
      <w:pPr>
        <w:framePr w:w="9078" w:x="1798" w:y="109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销：</w:t>
      </w:r>
    </w:p>
    <w:p>
      <w:pPr>
        <w:framePr w:w="4570" w:x="2218" w:y="11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）收取该金融资产现金流量的合同权利终止。</w:t>
      </w:r>
    </w:p>
    <w:p>
      <w:pPr>
        <w:framePr w:w="6259" w:x="2218" w:y="12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）该金融资产已转移，且该转移满足金融资产终止确认的规定。</w:t>
      </w:r>
    </w:p>
    <w:p>
      <w:pPr>
        <w:framePr w:w="6259" w:x="221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）金融负债终止确认条件</w:t>
      </w:r>
    </w:p>
    <w:p>
      <w:pPr>
        <w:framePr w:w="9069" w:x="1798" w:y="129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金融负债（或其一部分）的现时义务已经解除的，则终止确认该金融负债（或该部分金融负</w:t>
      </w:r>
    </w:p>
    <w:p>
      <w:pPr>
        <w:framePr w:w="9069" w:x="1798" w:y="129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债）。</w:t>
      </w:r>
    </w:p>
    <w:p>
      <w:pPr>
        <w:framePr w:w="9110"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本公司与借出方之间签订协议，以承担新金融负债方式替换原金融负债，且新金融负债与原</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金融负债的合同条款实质上不同的，或对原金融负债（或其一部分）的合同条款做出实质性修改</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的，则终止确认原金融负债，同时确认一项新金融负债，账面价值与支付的对价（包括转出的非</w:t>
      </w:r>
    </w:p>
    <w:p>
      <w:pPr>
        <w:framePr w:w="5309" w:x="179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现金资产或承担的负债）之间的差额，计入当期损益。</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0" type="#_x0000_t75" style="width:445.6pt;height:2.7pt;margin-top:53.65pt;margin-left:87.45pt;mso-position-horizontal-relative:page;mso-position-vertical-relative:page;position:absolute;z-index:-25159987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8" w:name="br1_57"/>
      <w:bookmarkEnd w:id="5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本公司回购金融负债一部分的，按照继续确认部分和终止确认部分在回购日各自的公允价值</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占整体公允价值的比例，对该金融负债整体的账面价值进行分配。分配给终止确认部分的账面价</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值与支付的对价（包括转出的非现金资产或承担的负债）之间的差额，应当计入当期损益。</w:t>
      </w:r>
    </w:p>
    <w:p>
      <w:pPr>
        <w:framePr w:w="9110" w:x="1798" w:y="1535"/>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．金融资产转移的确认依据和计量方法</w:t>
      </w:r>
    </w:p>
    <w:p>
      <w:pPr>
        <w:framePr w:w="9068" w:x="1798" w:y="31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本公司在发生金融资产转移时，评估其保留金融资产所有权上的风险和报酬的程度，并分别</w:t>
      </w:r>
    </w:p>
    <w:p>
      <w:pPr>
        <w:framePr w:w="9068"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下列情形处理：</w:t>
      </w:r>
    </w:p>
    <w:p>
      <w:pPr>
        <w:framePr w:w="9078" w:x="1798" w:y="39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）转移了金融资产所有权上几乎所有风险和报酬的，则终止确认该金融资产，并将转移中</w:t>
      </w:r>
    </w:p>
    <w:p>
      <w:pPr>
        <w:framePr w:w="9078"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产生或保留的权利和义务单独确认为资产或负债。</w:t>
      </w:r>
    </w:p>
    <w:p>
      <w:pPr>
        <w:framePr w:w="9078" w:x="1798" w:y="48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）保留了金融资产所有权上几乎所有风险和报酬的，则继续确认该金融资产。</w:t>
      </w:r>
    </w:p>
    <w:p>
      <w:pPr>
        <w:framePr w:w="9078" w:x="1798" w:y="480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4"/>
          <w:sz w:val="21"/>
          <w:szCs w:val="22"/>
          <w:lang w:val="en-US" w:eastAsia="en-US" w:bidi="ar-SA"/>
        </w:rPr>
        <w:t>）既没有转移也没有保留金融资产所有权上几乎所有风险和报酬的（即除本条（</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50"/>
          <w:sz w:val="21"/>
          <w:szCs w:val="22"/>
          <w:lang w:val="en-US" w:eastAsia="en-US" w:bidi="ar-SA"/>
        </w:rPr>
        <w:t>）、（</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w:t>
      </w:r>
    </w:p>
    <w:p>
      <w:pPr>
        <w:framePr w:w="9078" w:x="1798" w:y="480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之外的其他情形），则根据其是否保留了对金融资产的控制，分别下列情形处理：</w:t>
      </w:r>
    </w:p>
    <w:p>
      <w:pPr>
        <w:framePr w:w="9078" w:x="1798" w:y="480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）未保留对该金融资产控制的，则终止确认该金融资产，并将转移中产生或保留的权利和义</w:t>
      </w:r>
    </w:p>
    <w:p>
      <w:pPr>
        <w:framePr w:w="9078"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务单独确认为资产或负债。</w:t>
      </w:r>
    </w:p>
    <w:p>
      <w:pPr>
        <w:framePr w:w="9110" w:x="1798" w:y="68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）保留了对该金融资产控制的，则按照其继续涉入被转移金融资产的程度继续确认有关金融</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资产，并相应确认相关负债。继续涉入被转移金融资产的程度，是指本公司承担的被转移金融资</w:t>
      </w:r>
    </w:p>
    <w:p>
      <w:pPr>
        <w:framePr w:w="9110" w:x="1798" w:y="684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产价值变动风险或报酬的程度。</w:t>
      </w:r>
    </w:p>
    <w:p>
      <w:pPr>
        <w:framePr w:w="9069" w:x="1798" w:y="80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在判断金融资产转移是否满足上述金融资产终止确认条件时，采用实质重于形式的原则。公</w:t>
      </w:r>
    </w:p>
    <w:p>
      <w:pPr>
        <w:framePr w:w="9069"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司将金融资产转移区分为金融资产整体转移和部分转移。</w:t>
      </w:r>
    </w:p>
    <w:p>
      <w:pPr>
        <w:framePr w:w="8160" w:x="2218" w:y="88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）金融资产整体转移满足终止确认条件的，将下列两项金额的差额计入当期损益：</w:t>
      </w:r>
    </w:p>
    <w:p>
      <w:pPr>
        <w:framePr w:w="8160" w:x="221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）被转移金融资产在终止确认日的账面价值。</w:t>
      </w:r>
    </w:p>
    <w:p>
      <w:pPr>
        <w:framePr w:w="9110" w:x="1798" w:y="97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）因转移金融资产而收到的对价，与原直接计入其他综合收益的公允价值变动累计额中对应</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终止确认部分的金额（涉及转移的金融资产为以公允价值计量且其变动计入其他综合收益的金融</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资产）之和。</w:t>
      </w:r>
    </w:p>
    <w:p>
      <w:pPr>
        <w:framePr w:w="9110" w:x="1798" w:y="109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）金融资产部分转移且该被转移部分整体满足终止确认条件的，将转移前金融资产整体的</w:t>
      </w:r>
    </w:p>
    <w:p>
      <w:pPr>
        <w:framePr w:w="9110" w:x="1798" w:y="109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账面价值，在终止确认部分和继续确认部分（在此种情形下，所保留的服务资产应当视同继续确</w:t>
      </w:r>
    </w:p>
    <w:p>
      <w:pPr>
        <w:framePr w:w="9110" w:x="1798" w:y="109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认金融资产的一部分）之间，按照转移日各自的相对公允价值进行分摊，并将下列两项金额的差</w:t>
      </w:r>
    </w:p>
    <w:p>
      <w:pPr>
        <w:framePr w:w="9110" w:x="1798" w:y="109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额计入当期损益：</w:t>
      </w:r>
    </w:p>
    <w:p>
      <w:pPr>
        <w:framePr w:w="4358" w:x="2218" w:y="12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）终止确认部分在终止确认日的账面价值。</w:t>
      </w:r>
    </w:p>
    <w:p>
      <w:pPr>
        <w:framePr w:w="9110" w:x="1798" w:y="129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）终止确认部分收到的对价，与原计入其他综合收益的公允价值变动累计额中对应终止确认</w:t>
      </w:r>
    </w:p>
    <w:p>
      <w:pPr>
        <w:framePr w:w="9110" w:x="1798" w:y="129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部分的金额（涉及转移的金融资产为以公允价值计量且其变动计入其他综合收益的金融资产）之</w:t>
      </w:r>
    </w:p>
    <w:p>
      <w:pPr>
        <w:framePr w:w="9110" w:x="1798" w:y="1297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和。</w:t>
      </w:r>
    </w:p>
    <w:p>
      <w:pPr>
        <w:framePr w:w="9068" w:x="1798" w:y="142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金融资产转移不满足终止确认条件的，继续确认该金融资产，所收到的对价确认为一项金融</w:t>
      </w:r>
    </w:p>
    <w:p>
      <w:pPr>
        <w:framePr w:w="9068" w:x="1798" w:y="142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负债。</w:t>
      </w:r>
    </w:p>
    <w:p>
      <w:pPr>
        <w:framePr w:w="4358" w:x="2220"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．金融资产和金融负债公允价值的确定方法</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59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1" type="#_x0000_t75" style="width:445.6pt;height:2.7pt;margin-top:53.65pt;margin-left:87.45pt;mso-position-horizontal-relative:page;mso-position-vertical-relative:page;position:absolute;z-index:-25159884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59" w:name="br1_58"/>
      <w:bookmarkEnd w:id="5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81"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存在活跃市场的金融资产或金融负债，以活跃市场的报价确定其公允价值，除非该项金融资</w:t>
      </w:r>
    </w:p>
    <w:p>
      <w:pPr>
        <w:framePr w:w="9181"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产存在针对资产本身的限售期。对于针对资产本身的限售的金融资产，按照活跃市场的报价扣除</w:t>
      </w:r>
    </w:p>
    <w:p>
      <w:pPr>
        <w:framePr w:w="9181"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市场参与者因承担指定期间内无法在公开市场上出售该金融资产的风险而要求获得的补偿金额后</w:t>
      </w:r>
    </w:p>
    <w:p>
      <w:pPr>
        <w:framePr w:w="9181"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确定。活跃市场的报价包括易于且可定期从交易所、交易商、经纪人、行业集团、定价机构或监</w:t>
      </w:r>
    </w:p>
    <w:p>
      <w:pPr>
        <w:framePr w:w="9181"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管机构等获得相关资产或负债的报价，且能代表在公平交易基础上实际并经常发生的市场交易。</w:t>
      </w:r>
    </w:p>
    <w:p>
      <w:pPr>
        <w:framePr w:w="9181" w:x="1798" w:y="153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初始取得或衍生的金融资产或承担的金融负债，以市场交易价格作为确定其公允价值的基础。</w:t>
      </w:r>
    </w:p>
    <w:p>
      <w:pPr>
        <w:framePr w:w="9181" w:x="1798" w:y="1535"/>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不存在活跃市场的金融资产或金融负债，采用估值技术确定其公允价值。在估值时，本公司</w:t>
      </w:r>
    </w:p>
    <w:p>
      <w:pPr>
        <w:framePr w:w="9181"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采用在当前情况下适用并且有足够可利用数据和其他信息支持的估值技术，选择与市场参与者在</w:t>
      </w:r>
    </w:p>
    <w:p>
      <w:pPr>
        <w:framePr w:w="9181"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相关资产或负债的交易中所考虑的资产或负债特征相一致的输入值，并尽可能优先使用相关可观</w:t>
      </w:r>
    </w:p>
    <w:p>
      <w:pPr>
        <w:framePr w:w="9181"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察输入值。在相关可观察输入值无法取得或取得不切实可行的情况下，使用不可观察输入值。</w:t>
      </w:r>
    </w:p>
    <w:p>
      <w:pPr>
        <w:framePr w:w="9181" w:x="1798" w:y="1535"/>
        <w:widowControl w:val="0"/>
        <w:autoSpaceDE w:val="0"/>
        <w:autoSpaceDN w:val="0"/>
        <w:spacing w:before="199"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．金融工具减值</w:t>
      </w:r>
    </w:p>
    <w:p>
      <w:pPr>
        <w:framePr w:w="9322" w:x="1798" w:y="60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本公司以预期信用损失为基础，对分类为以摊余成本计量的金融资产、分类为以公允价值计</w:t>
      </w:r>
    </w:p>
    <w:p>
      <w:pPr>
        <w:framePr w:w="9322"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量且其变动计入其他综合收益的金融资产以及财务担保合同，进行减值会计处理并确认损失准备。</w:t>
      </w:r>
    </w:p>
    <w:p>
      <w:pPr>
        <w:framePr w:w="9322" w:x="1798" w:y="6032"/>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预期信用损失，是指以发生违约的风险为权重的金融工具信用损失的加权平均值。信用损失，</w:t>
      </w:r>
    </w:p>
    <w:p>
      <w:pPr>
        <w:framePr w:w="9322"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是指本公司按照原实际利率折现的、根据合同应收的所有合同现金流量与预期收取的所有现金流</w:t>
      </w:r>
    </w:p>
    <w:p>
      <w:pPr>
        <w:framePr w:w="9322" w:x="1798" w:y="603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量之间的差额，即全部现金短缺的现值。其中，对于本公司购买或源生的已发生信用减值的金融</w:t>
      </w:r>
    </w:p>
    <w:p>
      <w:pPr>
        <w:framePr w:w="9322"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资产，应按照该金融资产经信用调整的实际利率折现。</w:t>
      </w:r>
    </w:p>
    <w:p>
      <w:pPr>
        <w:framePr w:w="9068" w:x="1798" w:y="848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对由收入准则规范的交易形成的应收款项，本公司运用简化计量方法，按照相当于整个存续</w:t>
      </w:r>
    </w:p>
    <w:p>
      <w:pPr>
        <w:framePr w:w="9068" w:x="179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期内预期信用损失的金额计量损失准备。</w:t>
      </w:r>
    </w:p>
    <w:p>
      <w:pPr>
        <w:framePr w:w="9110" w:x="1798" w:y="92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对于购买或源生的已发生信用减值的金融资产，在资产负债表日仅将自初始确认后整个存续</w:t>
      </w:r>
    </w:p>
    <w:p>
      <w:pPr>
        <w:framePr w:w="9110"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期内预期信用损失的累计变动确认为损失准备。在每个资产负债表日，将整个存续期内预期信用</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损失的变动金额作为减值损失或利得计入当期损益。即使该资产负债表日确定的整个存续期内预</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期信用损失小于初始确认时估计现金流量所反映的预期信用损失的金额，也将预期信用损失的有</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利变动确认为减值利得。</w:t>
      </w:r>
    </w:p>
    <w:p>
      <w:pPr>
        <w:framePr w:w="9110"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除上述采用简化计量方法和购买或源生的已发生信用减值以外的其他金融资产，本公司在每</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个资产负债表日评估相关金融工具的信用风险自初始确认后是否已显著增加，并按照下列情形分</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别计量其损失准备、确认预期信用损失及其变动：</w:t>
      </w:r>
    </w:p>
    <w:p>
      <w:pPr>
        <w:framePr w:w="9079" w:x="1798" w:y="125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）如果该金融工具的信用风险自初始确认后并未显著增加，处于第一阶段，则按照相当于</w:t>
      </w:r>
    </w:p>
    <w:p>
      <w:pPr>
        <w:framePr w:w="9079" w:x="1798" w:y="125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该金融工具未来</w:t>
      </w:r>
      <w:r>
        <w:rPr>
          <w:rFonts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个月内预期信用损失的金额计量其损失准备，并按照账面余额和实际利率计</w:t>
      </w:r>
    </w:p>
    <w:p>
      <w:pPr>
        <w:framePr w:w="9079" w:x="1798" w:y="1256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算利息收入。</w:t>
      </w:r>
    </w:p>
    <w:p>
      <w:pPr>
        <w:framePr w:w="9110"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）如果该金融工具的信用风险自初始确认后已显著增加但尚未发生信用减值的，处于第二</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阶段，则按照相当于该金融工具整个存续期内预期信用损失的金额计量其损失准备，并按照账面</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余额和实际利率计算利息收入。</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2" type="#_x0000_t75" style="width:445.6pt;height:2.7pt;margin-top:53.65pt;margin-left:87.45pt;mso-position-horizontal-relative:page;mso-position-vertical-relative:page;position:absolute;z-index:-25159782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0" w:name="br1_59"/>
      <w:bookmarkEnd w:id="6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）如果该金融工具自初始确认后已经发生信用减值的，处于第三阶段，本公司按照相当于</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该金融工具整个存续期内预期信用损失的金额计量其损失准备，并按照摊余成本和实际利率计算</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利息收入。</w:t>
      </w:r>
    </w:p>
    <w:p>
      <w:pPr>
        <w:framePr w:w="9322"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金融工具信用损失准备的增加或转回金额，作为减值损失或利得计入当期损益。除分类为以</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公允价值计量且其变动计入其他综合收益的金融资产外，信用损失准备抵减金融资产的账面余额。</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对于分类为以公允价值计量且其变动计入其他综合收益的金融资产，本公司在其他综合收益中确</w:t>
      </w:r>
    </w:p>
    <w:p>
      <w:pPr>
        <w:framePr w:w="9322" w:x="1798" w:y="27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认其信用损失准备，不减少该金融资产在资产负债表中列示的账面价值。</w:t>
      </w:r>
    </w:p>
    <w:p>
      <w:pPr>
        <w:framePr w:w="9322" w:x="1798" w:y="2762"/>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本公司在前一会计期间已经按照相当于金融工具整个存续期内预期信用损失的金额计量了损</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失准备，但在当期资产负债表日，该金融工具已不再属于自初始确认后信用风险显著增加的情形</w:t>
      </w:r>
    </w:p>
    <w:p>
      <w:pPr>
        <w:framePr w:w="9322"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的，本公司在当期资产负债表日按照相当于未来</w:t>
      </w:r>
      <w:r>
        <w:rPr>
          <w:rFonts w:eastAsiaTheme="minorEastAsia" w:hAnsiTheme="minorHAnsi" w:cstheme="minorBidi"/>
          <w:color w:val="000000"/>
          <w:spacing w:val="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个月内预期信用损失的金额计量该金融工具的</w:t>
      </w:r>
    </w:p>
    <w:p>
      <w:pPr>
        <w:framePr w:w="9322" w:x="1798" w:y="27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损失准备，由此形成的损失准备的转回金额作为减值利得计入当期损益。</w:t>
      </w:r>
    </w:p>
    <w:p>
      <w:pPr>
        <w:framePr w:w="9322" w:x="1798" w:y="2762"/>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）信用风险显著增加</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本公司利用可获得的合理且有依据的前瞻性信息，通过比较金融工具在资产负债表日发生违</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约的风险与在初始确认日发生违约的风险，以确定金融工具的信用风险自初始确认后是否已显著</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增加。对于财务担保合同，本公司在应用金融工具减值规定时，将本公司成为做出不可撤销承诺</w:t>
      </w:r>
    </w:p>
    <w:p>
      <w:pPr>
        <w:framePr w:w="9110" w:x="1798" w:y="643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的一方之日作为初始确认日。</w:t>
      </w:r>
    </w:p>
    <w:p>
      <w:pPr>
        <w:framePr w:w="5520" w:x="2218" w:y="80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本公司在评估信用风险是否显著增加时会考虑如下因素：</w:t>
      </w:r>
    </w:p>
    <w:p>
      <w:pPr>
        <w:framePr w:w="4992" w:x="2218" w:y="8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）债务人经营成果实际或预期是否发生显著变化；</w:t>
      </w:r>
    </w:p>
    <w:p>
      <w:pPr>
        <w:framePr w:w="6259" w:x="2218" w:y="88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）债务人所处的监管、经济或技术环境是否发生显著不利变化；</w:t>
      </w:r>
    </w:p>
    <w:p>
      <w:pPr>
        <w:framePr w:w="9078" w:x="1798" w:y="92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）作为债务抵押的担保物价值或第三方提供的担保或信用增级质量是否发生显著变化，这些</w:t>
      </w:r>
    </w:p>
    <w:p>
      <w:pPr>
        <w:framePr w:w="9078"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变化预期将降低债务人按合同规定期限还款的经济动机或者影响违约概率；</w:t>
      </w:r>
    </w:p>
    <w:p>
      <w:pPr>
        <w:framePr w:w="9078" w:x="1798" w:y="929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）债务人预期表现和还款行为是否发生显著变化；</w:t>
      </w:r>
    </w:p>
    <w:p>
      <w:pPr>
        <w:framePr w:w="5203" w:x="2218" w:y="10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）本公司对金融工具信用管理方法是否发生变化等。</w:t>
      </w:r>
    </w:p>
    <w:p>
      <w:pPr>
        <w:framePr w:w="9110" w:x="1798" w:y="109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于资产负债表日，若本公司判断金融工具只具有较低的信用风险，则本公司假定该金融工具</w:t>
      </w:r>
    </w:p>
    <w:p>
      <w:pPr>
        <w:framePr w:w="9110" w:x="1798" w:y="109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的信用风险自初始确认后并未显著增加。如果金融工具的违约风险较低，借款人在短期内履行其</w:t>
      </w:r>
    </w:p>
    <w:p>
      <w:pPr>
        <w:framePr w:w="9110" w:x="1798" w:y="109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合同现金流量义务的能力很强，并且即使较长时期内经济形势和经营环境存在不利变化，但未必</w:t>
      </w:r>
    </w:p>
    <w:p>
      <w:pPr>
        <w:framePr w:w="9110" w:x="1798" w:y="109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一定降低借款人履行其合同现金流量义务的能力，则该金融工具被视为具有较低的信用风险。</w:t>
      </w:r>
    </w:p>
    <w:p>
      <w:pPr>
        <w:framePr w:w="9110" w:x="1798" w:y="1093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）已发生信用减值的金融资产</w:t>
      </w:r>
    </w:p>
    <w:p>
      <w:pPr>
        <w:framePr w:w="9068" w:x="1798" w:y="129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当对金融资产预期未来现金流量具有不利影响的一项或多项事件发生时，该金融资产成为已</w:t>
      </w:r>
    </w:p>
    <w:p>
      <w:pPr>
        <w:framePr w:w="9068" w:x="1798" w:y="129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发生信用减值的金融资产。金融资产已发生信用减值的证据包括下列可观察信息：</w:t>
      </w:r>
    </w:p>
    <w:p>
      <w:pPr>
        <w:framePr w:w="9068" w:x="1798" w:y="1297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）发行方或债务人发生重大财务困难；</w:t>
      </w:r>
    </w:p>
    <w:p>
      <w:pPr>
        <w:framePr w:w="5414" w:x="2218" w:y="142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）债务人违反合同，如偿付利息或本金违约或逾期等；</w:t>
      </w:r>
    </w:p>
    <w:p>
      <w:pPr>
        <w:framePr w:w="8794" w:x="2218" w:y="146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）债权人出于与债务人财务困难有关的经济或合同考虑，给予债务人在任何其他情况下都不</w:t>
      </w:r>
    </w:p>
    <w:p>
      <w:pPr>
        <w:framePr w:w="1718" w:x="179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会做出的让步；</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3" type="#_x0000_t75" style="width:445.6pt;height:2.7pt;margin-top:53.65pt;margin-left:87.45pt;mso-position-horizontal-relative:page;mso-position-vertical-relative:page;position:absolute;z-index:-2515968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1" w:name="br1_60"/>
      <w:bookmarkEnd w:id="6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358"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）债务人很可能破产或进行其他财务重组；</w:t>
      </w:r>
    </w:p>
    <w:p>
      <w:pPr>
        <w:framePr w:w="8899" w:x="221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）发行方或债务人财务困难导致该金融资产的活跃市场消失；</w:t>
      </w:r>
    </w:p>
    <w:p>
      <w:pPr>
        <w:framePr w:w="8899" w:x="221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）以大幅折扣购买或源生一项金融资产，该折扣反映了发生信用损失的事实。</w:t>
      </w:r>
    </w:p>
    <w:p>
      <w:pPr>
        <w:framePr w:w="8899" w:x="221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金融资产发生信用减值，有可能是多个事件的共同作用所致，未必是可单独识别的事件所致。</w:t>
      </w:r>
    </w:p>
    <w:p>
      <w:pPr>
        <w:framePr w:w="8899" w:x="221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）预期信用损失的确定</w:t>
      </w:r>
    </w:p>
    <w:p>
      <w:pPr>
        <w:framePr w:w="9068"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本公司基于单项和组合评估金融工具的预期信用损失，在评估预期信用损失时，考虑有关过</w:t>
      </w:r>
    </w:p>
    <w:p>
      <w:pPr>
        <w:framePr w:w="9068"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去事项、当前状况以及未来经济状况预测的合理且有依据的信息。</w:t>
      </w:r>
    </w:p>
    <w:p>
      <w:pPr>
        <w:framePr w:w="9110"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本公司以共同信用风险特征为依据，将金融工具分为不同组合。本公司采用的共同信用风险</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特征包括：金融工具类型、信用风险评级、账龄组合、逾期账龄组合、合同结算周期、债务人所</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处行业等。相关金融工具的单项评估标准和组合信用风险特征详见相关金融工具的会计政策。</w:t>
      </w:r>
    </w:p>
    <w:p>
      <w:pPr>
        <w:framePr w:w="9110" w:x="1798" w:y="4397"/>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本公司按照下列方法确定相关金融工具的预期信用损失：</w:t>
      </w:r>
    </w:p>
    <w:p>
      <w:pPr>
        <w:framePr w:w="9078" w:x="1798" w:y="60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）对于金融资产，信用损失为本公司应收取的合同现金流量与预期收取的现金流量之间差额</w:t>
      </w:r>
    </w:p>
    <w:p>
      <w:pPr>
        <w:framePr w:w="9078"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的现值。</w:t>
      </w:r>
    </w:p>
    <w:p>
      <w:pPr>
        <w:framePr w:w="9110" w:x="1798" w:y="68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）对于财务担保合同，信用损失为本公司就该合同持有人发生的信用损失向其做出赔付的预</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计付款额，减去本公司预期向该合同持有人、债务人或任何其他方收取的金额之间差额的现值。</w:t>
      </w:r>
    </w:p>
    <w:p>
      <w:pPr>
        <w:framePr w:w="9110" w:x="1798" w:y="6848"/>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）对于资产负债表日已发生信用减值但并非购买或源生已发生信用减值的金融资产，信用损</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失为该金融资产账面余额与按原实际利率折现的估计未来现金流量的现值之间的差额。</w:t>
      </w:r>
    </w:p>
    <w:p>
      <w:pPr>
        <w:framePr w:w="9110" w:x="1798" w:y="684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本公司计量金融工具预期信用损失的方法反映的因素包括：通过评价一系列可能的结果而确</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定的无偏概率加权平均金额；货币时间价值；在资产负债表日无须付出不必要的额外成本或努力</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即可获得的有关过去事项、当前状况以及未来经济状况预测的合理且有依据的信息。</w:t>
      </w:r>
    </w:p>
    <w:p>
      <w:pPr>
        <w:framePr w:w="9110" w:x="1798" w:y="6848"/>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）减记金融资产</w:t>
      </w:r>
    </w:p>
    <w:p>
      <w:pPr>
        <w:framePr w:w="9068" w:x="1798" w:y="101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当本公司不再合理预期金融资产合同现金流量能够全部或部分收回的，直接减记该金融资产</w:t>
      </w:r>
    </w:p>
    <w:p>
      <w:pPr>
        <w:framePr w:w="9068" w:x="1798" w:y="10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的账面余额。这种减记构成相关金融资产的终止确认。</w:t>
      </w:r>
    </w:p>
    <w:p>
      <w:pPr>
        <w:framePr w:w="3091" w:x="2220" w:y="10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．金融资产及金融负债的抵销</w:t>
      </w:r>
    </w:p>
    <w:p>
      <w:pPr>
        <w:framePr w:w="9078"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金融资产和金融负债在资产负债表内分别列示，没有相互抵销。但是，同时满足下列条件的，</w:t>
      </w:r>
    </w:p>
    <w:p>
      <w:pPr>
        <w:framePr w:w="9078"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以相互抵销后的净额在资产负债表内列示：</w:t>
      </w:r>
    </w:p>
    <w:p>
      <w:pPr>
        <w:framePr w:w="7738" w:x="2218" w:y="12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）本公司具有抵销已确认金额的法定权利，且该种法定权利是当前可执行的；</w:t>
      </w:r>
    </w:p>
    <w:p>
      <w:pPr>
        <w:framePr w:w="7738" w:x="221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）本公司计划以净额结算，或同时变现该金融资产和清偿该金融负债。</w:t>
      </w:r>
    </w:p>
    <w:p>
      <w:pPr>
        <w:framePr w:w="1510" w:x="1798" w:y="1329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11.</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应收票据</w:t>
      </w:r>
    </w:p>
    <w:p>
      <w:pPr>
        <w:framePr w:w="5098" w:x="1798" w:y="13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应收票据的预期信用损失的确定方法及会计处理方法</w:t>
      </w:r>
    </w:p>
    <w:p>
      <w:pPr>
        <w:framePr w:w="1817" w:x="1798" w:y="14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146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本公司对应收票据的预期信用损失的确定方法及会计处理方法详见财务报告五、重要会计政</w:t>
      </w:r>
    </w:p>
    <w:p>
      <w:pPr>
        <w:framePr w:w="3024" w:x="1798" w:y="15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4" type="#_x0000_t75" style="width:445.6pt;height:2.7pt;margin-top:53.65pt;margin-left:87.45pt;mso-position-horizontal-relative:page;mso-position-vertical-relative:page;position:absolute;z-index:-25159577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2" w:name="br1_61"/>
      <w:bookmarkEnd w:id="6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当在单项工具层面无法以合理成本评估预期信用损失的充分证据时，本公司参考历史信用损</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失经验，结合当前状况以及对未来经济状况的判断，依据信用风险特征将</w:t>
      </w:r>
      <w:r>
        <w:rPr>
          <w:rFonts w:eastAsiaTheme="minorEastAsia" w:hAnsiTheme="minorHAnsi" w:cstheme="minorBidi"/>
          <w:color w:val="000000"/>
          <w:spacing w:val="155"/>
          <w:sz w:val="21"/>
          <w:szCs w:val="22"/>
          <w:lang w:val="en-US" w:eastAsia="en-US" w:bidi="ar-SA"/>
        </w:rPr>
        <w:t xml:space="preserve"> </w:t>
      </w:r>
      <w:r>
        <w:rPr>
          <w:rFonts w:ascii="SimSun" w:hAnsi="SimSun" w:eastAsiaTheme="minorEastAsia" w:cs="SimSun"/>
          <w:color w:val="000000"/>
          <w:sz w:val="21"/>
          <w:szCs w:val="22"/>
          <w:lang w:val="en-US" w:eastAsia="en-US" w:bidi="ar-SA"/>
        </w:rPr>
        <w:t>应收票据划分为若干</w:t>
      </w:r>
    </w:p>
    <w:p>
      <w:pPr>
        <w:framePr w:w="9068"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组合，在组合基础上计算预期信用损失。确定组合的依据如下：</w:t>
      </w:r>
    </w:p>
    <w:p>
      <w:pPr>
        <w:framePr w:w="1296" w:x="1798" w:y="2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组合名称</w:t>
      </w:r>
    </w:p>
    <w:p>
      <w:pPr>
        <w:framePr w:w="1296" w:x="1798" w:y="2793"/>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无风险银行</w:t>
      </w:r>
    </w:p>
    <w:p>
      <w:pPr>
        <w:framePr w:w="1296" w:x="1798" w:y="27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承兑票据组</w:t>
      </w:r>
    </w:p>
    <w:p>
      <w:pPr>
        <w:framePr w:w="1296" w:x="1798" w:y="279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w:t>
      </w:r>
    </w:p>
    <w:p>
      <w:pPr>
        <w:framePr w:w="1718" w:x="3224" w:y="2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确定组合的依据</w:t>
      </w:r>
    </w:p>
    <w:p>
      <w:pPr>
        <w:framePr w:w="1085" w:x="7969" w:y="27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计提方法</w:t>
      </w:r>
    </w:p>
    <w:p>
      <w:pPr>
        <w:framePr w:w="7648" w:x="3224" w:y="32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出票人具有较高的信用评级，历史上未发生票据违</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5"/>
          <w:sz w:val="21"/>
          <w:szCs w:val="22"/>
          <w:lang w:val="en-US" w:eastAsia="en-US" w:bidi="ar-SA"/>
        </w:rPr>
        <w:t>参考历史信用损失经验，结合</w:t>
      </w:r>
    </w:p>
    <w:p>
      <w:pPr>
        <w:framePr w:w="7648" w:x="3224" w:y="321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约，信用损失风险极低，在短期内履行其支付合同</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z w:val="21"/>
          <w:szCs w:val="22"/>
          <w:lang w:val="en-US" w:eastAsia="en-US" w:bidi="ar-SA"/>
        </w:rPr>
        <w:t>当前状况以及对未来经济状</w:t>
      </w:r>
    </w:p>
    <w:p>
      <w:pPr>
        <w:framePr w:w="2563" w:x="3224" w:y="4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现金流量义务的能力很强</w:t>
      </w:r>
    </w:p>
    <w:p>
      <w:pPr>
        <w:framePr w:w="2352" w:x="7969" w:y="4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况的预期计量坏账准备</w:t>
      </w:r>
    </w:p>
    <w:p>
      <w:pPr>
        <w:framePr w:w="7648" w:x="3224" w:y="44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出票人具有较高的信用评级，历史上未发生票据违</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5"/>
          <w:sz w:val="21"/>
          <w:szCs w:val="22"/>
          <w:lang w:val="en-US" w:eastAsia="en-US" w:bidi="ar-SA"/>
        </w:rPr>
        <w:t>参考历史信用损失经验，结合</w:t>
      </w:r>
    </w:p>
    <w:p>
      <w:pPr>
        <w:framePr w:w="7648" w:x="3224" w:y="44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约，信用损失风险极低，在短期内履行其支付合同</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z w:val="21"/>
          <w:szCs w:val="22"/>
          <w:lang w:val="en-US" w:eastAsia="en-US" w:bidi="ar-SA"/>
        </w:rPr>
        <w:t>当前状况以及对未来经济状</w:t>
      </w:r>
    </w:p>
    <w:p>
      <w:pPr>
        <w:framePr w:w="1296" w:x="1798" w:y="46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商业承兑汇</w:t>
      </w:r>
    </w:p>
    <w:p>
      <w:pPr>
        <w:framePr w:w="1296" w:x="1798" w:y="46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票</w:t>
      </w:r>
    </w:p>
    <w:p>
      <w:pPr>
        <w:framePr w:w="2563" w:x="3224" w:y="5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现金流量义务的能力很强</w:t>
      </w:r>
    </w:p>
    <w:p>
      <w:pPr>
        <w:framePr w:w="2352" w:x="7969" w:y="5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况的预期计量坏账准备</w:t>
      </w:r>
    </w:p>
    <w:p>
      <w:pPr>
        <w:framePr w:w="1510" w:x="1798" w:y="601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12.</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应收账款</w:t>
      </w:r>
    </w:p>
    <w:p>
      <w:pPr>
        <w:framePr w:w="5098" w:x="1798" w:y="6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应收账款的预期信用损失的确定方法及会计处理方法</w:t>
      </w:r>
    </w:p>
    <w:p>
      <w:pPr>
        <w:framePr w:w="5098" w:x="1798" w:y="650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9" w:x="1798" w:y="738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本公司对应收账款的预期信用损失的确定方法及会计处理方法详见财务报告五、重要会计政</w:t>
      </w:r>
    </w:p>
    <w:p>
      <w:pPr>
        <w:framePr w:w="9069" w:x="1798" w:y="738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9068" w:x="1798" w:y="81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本公司对在单项工具层面能以合理成本评估预期信用损失的充分证据的应收账款单独确定其</w:t>
      </w:r>
    </w:p>
    <w:p>
      <w:pPr>
        <w:framePr w:w="9068" w:x="1798" w:y="8196"/>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信用损失。</w:t>
      </w:r>
    </w:p>
    <w:p>
      <w:pPr>
        <w:framePr w:w="9110" w:x="1798" w:y="901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当在单项工具层面无法以合理成本评估预期信用损失的充分证据时，本公司参考历史信用损</w:t>
      </w:r>
    </w:p>
    <w:p>
      <w:pPr>
        <w:framePr w:w="9110" w:x="1798" w:y="901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失经验，结合当前状况以及对未来经济状况的判断，依据信用风险特征将应收账款划分为若干组</w:t>
      </w:r>
    </w:p>
    <w:p>
      <w:pPr>
        <w:framePr w:w="9110" w:x="1798" w:y="901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合，在组合基础上计算预期信用损失。确定组合的依据如下：</w:t>
      </w:r>
    </w:p>
    <w:p>
      <w:pPr>
        <w:framePr w:w="4284" w:x="1798"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组合名称</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确定组合的依据</w:t>
      </w:r>
    </w:p>
    <w:p>
      <w:pPr>
        <w:framePr w:w="4284" w:x="1798" w:y="10304"/>
        <w:widowControl w:val="0"/>
        <w:autoSpaceDE w:val="0"/>
        <w:autoSpaceDN w:val="0"/>
        <w:spacing w:before="106" w:line="211" w:lineRule="exact"/>
        <w:ind w:left="109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以应收账款账龄作为信用风险特</w:t>
      </w:r>
    </w:p>
    <w:p>
      <w:pPr>
        <w:framePr w:w="1085" w:x="6159" w:y="10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计提方法</w:t>
      </w:r>
    </w:p>
    <w:p>
      <w:pPr>
        <w:framePr w:w="1085" w:x="1798" w:y="10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p>
    <w:p>
      <w:pPr>
        <w:framePr w:w="4675" w:x="6159" w:y="10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按账龄与整个存续期预期信用损失率对照表计提</w:t>
      </w:r>
    </w:p>
    <w:p>
      <w:pPr>
        <w:framePr w:w="451" w:x="2897" w:y="10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征</w:t>
      </w:r>
    </w:p>
    <w:p>
      <w:pPr>
        <w:framePr w:w="4675" w:x="6159" w:y="11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参考历史信用损失经验，结合当前状况以及对未</w:t>
      </w:r>
    </w:p>
    <w:p>
      <w:pPr>
        <w:framePr w:w="4675" w:x="6159" w:y="1117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来经济状况的预期计量坏账准备</w:t>
      </w:r>
    </w:p>
    <w:p>
      <w:pPr>
        <w:framePr w:w="3862" w:x="1798" w:y="11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性质组合</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合并范围内关联方往来款等</w:t>
      </w:r>
    </w:p>
    <w:p>
      <w:pPr>
        <w:framePr w:w="1932" w:x="1798" w:y="1206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13.</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应收款项融资</w:t>
      </w:r>
    </w:p>
    <w:p>
      <w:pPr>
        <w:framePr w:w="1817" w:x="1798" w:y="12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1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本公司对应收款项融资的预期信用损失的确定方法及会计处理方法详见财务报告五、重要会</w:t>
      </w:r>
    </w:p>
    <w:p>
      <w:pPr>
        <w:framePr w:w="3445" w:x="1798" w:y="133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计政策及会计估计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1721" w:x="1798" w:y="1408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14.</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其他应收款</w:t>
      </w:r>
    </w:p>
    <w:p>
      <w:pPr>
        <w:framePr w:w="5098" w:x="1798" w:y="145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其他应收款预期信用损失的确定方法及会计处理方法</w:t>
      </w:r>
    </w:p>
    <w:p>
      <w:pPr>
        <w:framePr w:w="1817" w:x="1798" w:y="150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5" type="#_x0000_t75" style="width:445.6pt;height:2.7pt;margin-top:53.65pt;margin-left:87.45pt;mso-position-horizontal-relative:page;mso-position-vertical-relative:page;position:absolute;z-index:-251386880">
            <v:imagedata r:id="rId98" o:title=""/>
          </v:shape>
        </w:pict>
      </w:r>
      <w:r>
        <w:rPr>
          <w:noProof/>
        </w:rPr>
        <w:pict>
          <v:shape id="_x0000_s1146" type="#_x0000_t75" style="width:455.2pt;height:149.05pt;margin-top:135.6pt;margin-left:82.8pt;mso-position-horizontal-relative:page;mso-position-vertical-relative:page;position:absolute;z-index:-251469824">
            <v:imagedata r:id="rId99" o:title=""/>
          </v:shape>
        </w:pict>
      </w:r>
      <w:r>
        <w:rPr>
          <w:noProof/>
        </w:rPr>
        <w:pict>
          <v:shape id="_x0000_s1147" type="#_x0000_t75" style="width:455.2pt;height:77.35pt;margin-top:509.6pt;margin-left:82.8pt;mso-position-horizontal-relative:page;mso-position-vertical-relative:page;position:absolute;z-index:-251594752">
            <v:imagedata r:id="rId100" o:title=""/>
          </v:shape>
        </w:pict>
      </w:r>
    </w:p>
    <w:p>
      <w:pPr>
        <w:spacing w:line="0" w:lineRule="atLeast"/>
        <w:rPr>
          <w:rFonts w:ascii="Arial" w:eastAsiaTheme="minorEastAsia" w:hAnsiTheme="minorHAnsi" w:cstheme="minorBidi"/>
          <w:color w:val="FF0000"/>
          <w:sz w:val="2"/>
          <w:szCs w:val="22"/>
          <w:lang w:val="en-US" w:eastAsia="en-US" w:bidi="ar-SA"/>
        </w:rPr>
      </w:pPr>
      <w:bookmarkStart w:id="63" w:name="br1_62"/>
      <w:bookmarkEnd w:id="6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本公司对其他应收款的预期信用损失的确定方法及会计处理方法详见财务报告五、重要会计</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政策及会计估计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、金融工具。</w:t>
      </w:r>
    </w:p>
    <w:p>
      <w:pPr>
        <w:framePr w:w="6154"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本公司对合并范围内关联方的其他应收款单独确定其信用损失。</w:t>
      </w:r>
    </w:p>
    <w:p>
      <w:pPr>
        <w:framePr w:w="9110"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当在单项工具层面无法以合理成本评估预期信用损失的充分证据时，本公司参考历史信用损</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失经验，结合当前状况以及对未来经济状况的判断，依据信用风险特征将其他应收款划分为若干</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组合，在组合基础上计算预期信用损失。确定组合的依据如下：</w:t>
      </w:r>
    </w:p>
    <w:p>
      <w:pPr>
        <w:framePr w:w="2813" w:x="1798" w:y="4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组合名称</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确定组合的依据</w:t>
      </w:r>
    </w:p>
    <w:p>
      <w:pPr>
        <w:framePr w:w="1085" w:x="6534" w:y="4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计提方法</w:t>
      </w:r>
    </w:p>
    <w:p>
      <w:pPr>
        <w:framePr w:w="4253" w:x="6534" w:y="4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按账龄与整个存续期预期信用损失率对照表</w:t>
      </w:r>
    </w:p>
    <w:p>
      <w:pPr>
        <w:framePr w:w="4253" w:x="6534" w:y="443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4704" w:x="1798" w:y="46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以其他应收款账龄作为信用风险特征</w:t>
      </w:r>
    </w:p>
    <w:p>
      <w:pPr>
        <w:framePr w:w="4464" w:x="6534" w:y="52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参考历史信用损失经验，结合当前状况以及对</w:t>
      </w:r>
    </w:p>
    <w:p>
      <w:pPr>
        <w:framePr w:w="4464" w:x="6534" w:y="526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未来经济状况的预期计量坏账准备</w:t>
      </w:r>
    </w:p>
    <w:p>
      <w:pPr>
        <w:framePr w:w="3862" w:x="1798" w:y="54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性质组合</w:t>
      </w:r>
      <w:r>
        <w:rPr>
          <w:rFonts w:eastAsiaTheme="minorEastAsia" w:hAnsiTheme="minorHAnsi" w:cstheme="minorBidi"/>
          <w:color w:val="000000"/>
          <w:spacing w:val="205"/>
          <w:sz w:val="21"/>
          <w:szCs w:val="22"/>
          <w:lang w:val="en-US" w:eastAsia="en-US" w:bidi="ar-SA"/>
        </w:rPr>
        <w:t xml:space="preserve"> </w:t>
      </w:r>
      <w:r>
        <w:rPr>
          <w:rFonts w:ascii="SimSun" w:hAnsi="SimSun" w:eastAsiaTheme="minorEastAsia" w:cs="SimSun"/>
          <w:color w:val="000000"/>
          <w:sz w:val="21"/>
          <w:szCs w:val="22"/>
          <w:lang w:val="en-US" w:eastAsia="en-US" w:bidi="ar-SA"/>
        </w:rPr>
        <w:t>合并范围内关联方往来款等</w:t>
      </w:r>
    </w:p>
    <w:p>
      <w:pPr>
        <w:framePr w:w="1087" w:x="1798" w:y="642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15.</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w:t>
      </w:r>
    </w:p>
    <w:p>
      <w:pPr>
        <w:framePr w:w="1817" w:x="1798" w:y="67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613" w:x="2218" w:y="7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．存货的分类</w:t>
      </w:r>
    </w:p>
    <w:p>
      <w:pPr>
        <w:framePr w:w="9110" w:x="1798" w:y="745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存货是指本公司在日常活动中持有以备出售的产成品或商品、处在生产过程中的在产品、在</w:t>
      </w:r>
    </w:p>
    <w:p>
      <w:pPr>
        <w:framePr w:w="9110" w:x="1798" w:y="74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生产过程或提供劳务过程中耗用的材料和物料等。主要包括原材料、周转材料、委托加工材料、</w:t>
      </w:r>
    </w:p>
    <w:p>
      <w:pPr>
        <w:framePr w:w="9110" w:x="1798" w:y="74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在产品、自制半成品、产成品（库存商品）、发出商品等。</w:t>
      </w:r>
    </w:p>
    <w:p>
      <w:pPr>
        <w:framePr w:w="2035" w:x="2220" w:y="86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．存货的计价方法</w:t>
      </w:r>
    </w:p>
    <w:p>
      <w:pPr>
        <w:framePr w:w="9068" w:x="1798" w:y="90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存货在取得时，按成本进行初始计量，包括采购成本、加工成本和其他成本。存货发出时按</w:t>
      </w:r>
    </w:p>
    <w:p>
      <w:pPr>
        <w:framePr w:w="9068" w:x="1798" w:y="90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加权平均法计价。</w:t>
      </w:r>
    </w:p>
    <w:p>
      <w:pPr>
        <w:framePr w:w="5626" w:x="2220" w:y="9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．存货可变现净值的确定依据及存货跌价准备的计提方法</w:t>
      </w:r>
    </w:p>
    <w:p>
      <w:pPr>
        <w:framePr w:w="9322" w:x="1798" w:y="1031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期末对存货进行全面清查后，按存货的成本与可变现净值孰低提取或调整存货跌价准备。产</w:t>
      </w:r>
    </w:p>
    <w:p>
      <w:pPr>
        <w:framePr w:w="9322" w:x="1798" w:y="103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成品、库存商品和用于出售的材料等直接用于出售的商品存货，在正常生产经营过程中，以该存</w:t>
      </w:r>
    </w:p>
    <w:p>
      <w:pPr>
        <w:framePr w:w="9322" w:x="1798" w:y="1031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货的估计售价减去估计的销售费用和相关税费后的金额，确定其可变现净值；需要经过加工的材</w:t>
      </w:r>
    </w:p>
    <w:p>
      <w:pPr>
        <w:framePr w:w="9322" w:x="1798" w:y="103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料存货，在正常生产经营过程中，以所生产的产成品的估计售价减去至完工时估计将要发生的成</w:t>
      </w:r>
    </w:p>
    <w:p>
      <w:pPr>
        <w:framePr w:w="9322" w:x="1798" w:y="103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本、估计的销售费用和相关税费后的金额，确定其可变现净值；为执行销售合同或者劳务合同而</w:t>
      </w:r>
    </w:p>
    <w:p>
      <w:pPr>
        <w:framePr w:w="9322" w:x="1798" w:y="103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持有的存货，其可变现净值以合同价格为基础计算，若持有存货的数量多于销售合同订购数量的，</w:t>
      </w:r>
    </w:p>
    <w:p>
      <w:pPr>
        <w:framePr w:w="9322" w:x="1798" w:y="1031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超出部分的存货的可变现净值以一般销售价格为基础计算。</w:t>
      </w:r>
    </w:p>
    <w:p>
      <w:pPr>
        <w:framePr w:w="9110" w:x="1798" w:y="131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期末按照单个存货项目计提存货跌价准备；但对于数量繁多、单价较低的存货，按照存货类</w:t>
      </w:r>
    </w:p>
    <w:p>
      <w:pPr>
        <w:framePr w:w="9110" w:x="1798" w:y="131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别计提存货跌价准备；与在同一地区生产和销售的产品系列相关、具有相同或类似最终用途或目</w:t>
      </w:r>
    </w:p>
    <w:p>
      <w:pPr>
        <w:framePr w:w="9110" w:x="1798" w:y="131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的，且难以与其他项目分开计量的存货，则合并计提存货跌价准备。</w:t>
      </w:r>
    </w:p>
    <w:p>
      <w:pPr>
        <w:framePr w:w="9068" w:x="1798" w:y="1440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以前减记存货价值的影响因素已经消失的，减记的金额予以恢复，并在原已计提的存货跌价</w:t>
      </w:r>
    </w:p>
    <w:p>
      <w:pPr>
        <w:framePr w:w="9068" w:x="1798" w:y="1440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准备金额内转回，转回的金额计入当期损益。</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48" type="#_x0000_t75" style="width:445.6pt;height:2.7pt;margin-top:53.65pt;margin-left:87.45pt;mso-position-horizontal-relative:page;mso-position-vertical-relative:page;position:absolute;z-index:-251468800">
            <v:imagedata r:id="rId101" o:title=""/>
          </v:shape>
        </w:pict>
      </w:r>
      <w:r>
        <w:rPr>
          <w:noProof/>
        </w:rPr>
        <w:pict>
          <v:shape id="_x0000_s1149" type="#_x0000_t75" style="width:455.2pt;height:108.1pt;margin-top:196.95pt;margin-left:82.8pt;mso-position-horizontal-relative:page;mso-position-vertical-relative:page;position:absolute;z-index:-251593728">
            <v:imagedata r:id="rId102" o:title=""/>
          </v:shape>
        </w:pict>
      </w:r>
    </w:p>
    <w:p>
      <w:pPr>
        <w:spacing w:line="0" w:lineRule="atLeast"/>
        <w:rPr>
          <w:rFonts w:ascii="Arial" w:eastAsiaTheme="minorEastAsia" w:hAnsiTheme="minorHAnsi" w:cstheme="minorBidi"/>
          <w:color w:val="FF0000"/>
          <w:sz w:val="2"/>
          <w:szCs w:val="22"/>
          <w:lang w:val="en-US" w:eastAsia="en-US" w:bidi="ar-SA"/>
        </w:rPr>
      </w:pPr>
      <w:bookmarkStart w:id="64" w:name="br1_63"/>
      <w:bookmarkEnd w:id="6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035" w:x="22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．存货的盘存制度</w:t>
      </w:r>
    </w:p>
    <w:p>
      <w:pPr>
        <w:framePr w:w="1930" w:x="221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采用永续盘存制。</w:t>
      </w:r>
    </w:p>
    <w:p>
      <w:pPr>
        <w:framePr w:w="3514"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．低值易耗品和包装物的摊销方法</w:t>
      </w:r>
    </w:p>
    <w:p>
      <w:pPr>
        <w:framePr w:w="3514" w:x="221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）低值易耗品采用一次转销法。</w:t>
      </w:r>
    </w:p>
    <w:p>
      <w:pPr>
        <w:framePr w:w="3514" w:x="221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）包装物采用一次转销法。</w:t>
      </w:r>
    </w:p>
    <w:p>
      <w:pPr>
        <w:framePr w:w="4147" w:x="2218"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）其他周转材料采用一次转销法摊销。</w:t>
      </w:r>
    </w:p>
    <w:p>
      <w:pPr>
        <w:framePr w:w="1510" w:x="1798" w:y="430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16.</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合同资产</w:t>
      </w:r>
    </w:p>
    <w:p>
      <w:pPr>
        <w:framePr w:w="3197" w:x="1798" w:y="47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合同资产的确认方法及标准</w:t>
      </w:r>
    </w:p>
    <w:p>
      <w:pPr>
        <w:framePr w:w="1817" w:x="1798" w:y="52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566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本公司根据履行履约义务与客户付款之间的关系在资产负债表中列示合同资产或合同负债。</w:t>
      </w:r>
    </w:p>
    <w:p>
      <w:pPr>
        <w:framePr w:w="9110" w:x="1798" w:y="566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本公司已向客户转让商品或提供服务而有权收取对价的权利（且该权利取决于时间流逝之外的其</w:t>
      </w:r>
    </w:p>
    <w:p>
      <w:pPr>
        <w:framePr w:w="9110" w:x="1798" w:y="566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他因素）列示为合同资产。同一合同下的合同资产和合同负债以净额列示。本公司拥有的、无条</w:t>
      </w:r>
    </w:p>
    <w:p>
      <w:pPr>
        <w:framePr w:w="9110" w:x="1798" w:y="566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件（仅取决于时间流逝）向客户收取对价的权利作为应收款项单独列示。</w:t>
      </w:r>
    </w:p>
    <w:p>
      <w:pPr>
        <w:framePr w:w="5309" w:x="1798" w:y="73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合同资产预期信用损失的确定方法及会计处理方法</w:t>
      </w:r>
    </w:p>
    <w:p>
      <w:pPr>
        <w:framePr w:w="1817" w:x="1798" w:y="7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8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合同资产的预期信用损失的确定方法及会计处理方法详见本附注</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4"/>
          <w:sz w:val="21"/>
          <w:szCs w:val="22"/>
          <w:lang w:val="en-US" w:eastAsia="en-US" w:bidi="ar-SA"/>
        </w:rPr>
        <w:t>、“应收账款的预期信用</w:t>
      </w:r>
    </w:p>
    <w:p>
      <w:pPr>
        <w:framePr w:w="3619" w:x="1798" w:y="86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损失的确定方法及会计处理方法。”</w:t>
      </w:r>
    </w:p>
    <w:p>
      <w:pPr>
        <w:framePr w:w="1932" w:x="1798" w:y="909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17.</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持有待售资产</w:t>
      </w:r>
    </w:p>
    <w:p>
      <w:pPr>
        <w:framePr w:w="1817" w:x="1798" w:y="95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80" w:x="2218" w:y="99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．划分为持有待售确认标准</w:t>
      </w:r>
    </w:p>
    <w:p>
      <w:pPr>
        <w:framePr w:w="9078" w:x="1798" w:y="1040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本公司将同时满足下列条件的非流动资产或处置组确认为持有待售组成部分：</w:t>
      </w:r>
    </w:p>
    <w:p>
      <w:pPr>
        <w:framePr w:w="9078" w:x="1798" w:y="1040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）根据类似交易中出售此类资产或处置组的惯例，在当前状况下即可立即出售；</w:t>
      </w:r>
    </w:p>
    <w:p>
      <w:pPr>
        <w:framePr w:w="9078" w:x="1798" w:y="10400"/>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）出售极可能发生，即本公司已经就一项出售计划作出决议，并已获得监管部门批准（如</w:t>
      </w:r>
    </w:p>
    <w:p>
      <w:pPr>
        <w:framePr w:w="9078" w:x="1798" w:y="104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适用），且获得确定的购买承诺，预计出售将在一年内完成。</w:t>
      </w:r>
    </w:p>
    <w:p>
      <w:pPr>
        <w:framePr w:w="9068" w:x="1798" w:y="1203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确定的购买承诺，是指本公司与其他方签订的具有法律约束力的购买协议，该协议包含交易</w:t>
      </w:r>
    </w:p>
    <w:p>
      <w:pPr>
        <w:framePr w:w="9068" w:x="1798" w:y="1203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价格、时间和足够严厉的违约惩罚等重要条款，使协议出现重大调整或者撤销的可能性极小。</w:t>
      </w:r>
    </w:p>
    <w:p>
      <w:pPr>
        <w:framePr w:w="9068" w:x="1798" w:y="12034"/>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．持有待售核算方法</w:t>
      </w:r>
    </w:p>
    <w:p>
      <w:pPr>
        <w:framePr w:w="9110" w:x="1798" w:y="1326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本公司对于持有待售的非流动资产或处置组不计提折旧或摊销，其账面价值高于公允价值减</w:t>
      </w:r>
    </w:p>
    <w:p>
      <w:pPr>
        <w:framePr w:w="9110" w:x="1798" w:y="1326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去出售费用后的净额的，应当将账面价值减记至公允价值减去出售费用后的净额，减记的金额确</w:t>
      </w:r>
    </w:p>
    <w:p>
      <w:pPr>
        <w:framePr w:w="9110" w:x="1798" w:y="1326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认为资产减值损失，计入当期损益，同时计提持有待售资产减值准备。</w:t>
      </w:r>
    </w:p>
    <w:p>
      <w:pPr>
        <w:framePr w:w="9110" w:x="1798" w:y="13261"/>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对于取得日划分为持有待售类别的非流动资产或处置组，在初始计量时比较假定其不划分为</w:t>
      </w:r>
    </w:p>
    <w:p>
      <w:pPr>
        <w:framePr w:w="9110" w:x="1798" w:y="1326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持有待售类别情况下的初始计量金额和公允价值减去出售费用后的净额，以两者孰低计量。</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0" type="#_x0000_t75" style="width:445.6pt;height:2.7pt;margin-top:53.65pt;margin-left:87.45pt;mso-position-horizontal-relative:page;mso-position-vertical-relative:page;position:absolute;z-index:-25159270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5" w:name="br1_64"/>
      <w:bookmarkEnd w:id="6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84"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上述原则适用于所有非流动资产，但不包括采用公允价值模式进行后续计量的投资性房地产、</w:t>
      </w:r>
    </w:p>
    <w:p>
      <w:pPr>
        <w:framePr w:w="9184"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采用公允价值减去出售费用后的净额计量的生物资产、职工薪酬形成的资产、递延所得税资产、</w:t>
      </w:r>
    </w:p>
    <w:p>
      <w:pPr>
        <w:framePr w:w="9184"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由金融工具相关会计准则规范的金融资产、由保险合同相关会计准则规范的保险合同所产生的权</w:t>
      </w:r>
    </w:p>
    <w:p>
      <w:pPr>
        <w:framePr w:w="9184"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w:t>
      </w:r>
    </w:p>
    <w:p>
      <w:pPr>
        <w:framePr w:w="1510" w:x="1798" w:y="348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18.</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债权投资</w:t>
      </w:r>
    </w:p>
    <w:p>
      <w:pPr>
        <w:framePr w:w="4886" w:x="1798" w:y="3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债权投资预期信用损失的确定方法及会计处理方法</w:t>
      </w:r>
    </w:p>
    <w:p>
      <w:pPr>
        <w:framePr w:w="4886" w:x="1798" w:y="397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502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19.</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其他债权投资</w:t>
      </w:r>
    </w:p>
    <w:p>
      <w:pPr>
        <w:framePr w:w="5309" w:x="1798" w:y="5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其他债权投资预期信用损失的确定方法及会计处理方法</w:t>
      </w:r>
    </w:p>
    <w:p>
      <w:pPr>
        <w:framePr w:w="5309" w:x="1798" w:y="5513"/>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656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20.</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长期应收款</w:t>
      </w:r>
    </w:p>
    <w:p>
      <w:pPr>
        <w:framePr w:w="5098" w:x="1798" w:y="70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长期应收款预期信用损失的确定方法及会计处理方法</w:t>
      </w:r>
    </w:p>
    <w:p>
      <w:pPr>
        <w:framePr w:w="5098" w:x="1798" w:y="705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811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21.</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长期股权投资</w:t>
      </w:r>
    </w:p>
    <w:p>
      <w:pPr>
        <w:framePr w:w="1817" w:x="1798" w:y="84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2218" w:y="88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．初始投资成本的确定</w:t>
      </w:r>
    </w:p>
    <w:p>
      <w:pPr>
        <w:framePr w:w="9064" w:x="1798" w:y="927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）企业合并形成的长期股权投资，具体会计政策详见本附注五</w:t>
      </w:r>
      <w:r>
        <w:rPr>
          <w:rFonts w:ascii="SimSun" w:eastAsiaTheme="minorEastAsia" w:hAnsiTheme="minorHAnsi" w:cstheme="minorBidi"/>
          <w:color w:val="000000"/>
          <w:sz w:val="21"/>
          <w:szCs w:val="22"/>
          <w:lang w:val="en-US" w:eastAsia="en-US" w:bidi="ar-SA"/>
        </w:rPr>
        <w:t>/5.</w:t>
      </w:r>
      <w:r>
        <w:rPr>
          <w:rFonts w:ascii="SimSun" w:hAnsi="SimSun" w:eastAsiaTheme="minorEastAsia" w:cs="SimSun"/>
          <w:color w:val="000000"/>
          <w:sz w:val="21"/>
          <w:szCs w:val="22"/>
          <w:lang w:val="en-US" w:eastAsia="en-US" w:bidi="ar-SA"/>
        </w:rPr>
        <w:t>同一控制下和非同一控</w:t>
      </w:r>
    </w:p>
    <w:p>
      <w:pPr>
        <w:framePr w:w="9064" w:x="1798" w:y="92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制下企业合并的会计处理方法。</w:t>
      </w:r>
    </w:p>
    <w:p>
      <w:pPr>
        <w:framePr w:w="3514" w:x="2218" w:y="100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）其他方式取得的长期股权投资</w:t>
      </w:r>
    </w:p>
    <w:p>
      <w:pPr>
        <w:framePr w:w="9287" w:x="1798" w:y="105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以支付现金方式取得的长期股权投资，按照实际支付的购买价款作为初始投资成本。初始投</w:t>
      </w:r>
    </w:p>
    <w:p>
      <w:pPr>
        <w:framePr w:w="9287" w:x="1798" w:y="1050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资成本包括与取得长期股权投资直接相关的费用、税金及其他必要支出。</w:t>
      </w:r>
    </w:p>
    <w:p>
      <w:pPr>
        <w:framePr w:w="9287" w:x="1798" w:y="1050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以发行权益性证券取得的长期股权投资，按照发行权益性证券的公允价值作为初始投资成本；</w:t>
      </w:r>
    </w:p>
    <w:p>
      <w:pPr>
        <w:framePr w:w="9287" w:x="1798" w:y="105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发行或取得自身权益工具时发生的交易费用，可直接归属于权益性交易的从权益中扣减。</w:t>
      </w:r>
    </w:p>
    <w:p>
      <w:pPr>
        <w:framePr w:w="9287" w:x="1798" w:y="1050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在非货币性资产交换具备商业实质和换入资产或换出资产的公允价值能够可靠计量的前提下，</w:t>
      </w:r>
    </w:p>
    <w:p>
      <w:pPr>
        <w:framePr w:w="9287" w:x="1798" w:y="1050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非货币性资产交换换入的长期股权投资以换出资产的公允价值为基础确定其初始投资成本，除非</w:t>
      </w:r>
    </w:p>
    <w:p>
      <w:pPr>
        <w:framePr w:w="9287" w:x="1798" w:y="105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有确凿证据表明换入资产的公允价值更加可靠；不满足上述前提的非货币性资产交换，以换出资</w:t>
      </w:r>
    </w:p>
    <w:p>
      <w:pPr>
        <w:framePr w:w="9287" w:x="1798" w:y="105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产的账面价值和应支付的相关税费作为换入长期股权投资的初始投资成本。</w:t>
      </w:r>
    </w:p>
    <w:p>
      <w:pPr>
        <w:framePr w:w="9287" w:x="1798" w:y="1050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通过债务重组取得的长期股权投资，其初始投资成本按照公允价值为基础确定。</w:t>
      </w:r>
    </w:p>
    <w:p>
      <w:pPr>
        <w:framePr w:w="9287" w:x="1798" w:y="10503"/>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．后续计量及损益确认</w:t>
      </w:r>
    </w:p>
    <w:p>
      <w:pPr>
        <w:framePr w:w="1402" w:x="2218" w:y="14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）成本法</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1" type="#_x0000_t75" style="width:445.6pt;height:2.7pt;margin-top:53.65pt;margin-left:87.45pt;mso-position-horizontal-relative:page;mso-position-vertical-relative:page;position:absolute;z-index:-25159168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6" w:name="br1_65"/>
      <w:bookmarkEnd w:id="6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本公司能够对被投资单位实施控制的长期股权投资采用成本法核算，并按照初始投资成本计</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价，追加或收回投资调整长期股权投资的成本。</w:t>
      </w:r>
    </w:p>
    <w:p>
      <w:pPr>
        <w:framePr w:w="9068"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除取得投资时实际支付的价款或对价中包含的已宣告但尚未发放的现金股利或利润外，本公</w:t>
      </w:r>
    </w:p>
    <w:p>
      <w:pPr>
        <w:framePr w:w="9068"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司按照享有被投资单位宣告分派的现金股利或利润确认为当期投资收益。</w:t>
      </w:r>
    </w:p>
    <w:p>
      <w:pPr>
        <w:framePr w:w="9068" w:x="1798" w:y="235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）权益法</w:t>
      </w:r>
    </w:p>
    <w:p>
      <w:pPr>
        <w:framePr w:w="9110"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本公司对联营企业和合营企业的长期股权投资采用权益法核算；对于其中一部分通过风险投</w:t>
      </w:r>
    </w:p>
    <w:p>
      <w:pPr>
        <w:framePr w:w="9110" w:x="1798" w:y="357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资机构、共同基金、信托公司或包括投连险基金在内的类似主体间接持有的联营企业的权益性投</w:t>
      </w:r>
    </w:p>
    <w:p>
      <w:pPr>
        <w:framePr w:w="9110"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资，采用公允价值计量且其变动计入损益。</w:t>
      </w:r>
    </w:p>
    <w:p>
      <w:pPr>
        <w:framePr w:w="9110" w:x="1798" w:y="48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长期股权投资的初始投资成本大于投资时应享有被投资单位可辨认净资产公允价值份额的差</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额，不调整长期股权投资的初始投资成本；初始投资成本小于投资时应享有被投资单位可辨认净</w:t>
      </w:r>
    </w:p>
    <w:p>
      <w:pPr>
        <w:framePr w:w="9110" w:x="1798" w:y="480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资产公允价值份额的差额，计入当期损益。</w:t>
      </w:r>
    </w:p>
    <w:p>
      <w:pPr>
        <w:framePr w:w="9110" w:x="1798" w:y="60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本公司取得长期股权投资后，按照应享有或应分担的被投资单位实现的净损益和其他综合收</w:t>
      </w:r>
    </w:p>
    <w:p>
      <w:pPr>
        <w:framePr w:w="9110"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益的份额，分别确认投资收益和其他综合收益，同时调整长期股权投资的账面价值；并按照被投</w:t>
      </w:r>
    </w:p>
    <w:p>
      <w:pPr>
        <w:framePr w:w="9110"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资单位宣告分派的利润或现金股利计算应享有的部分，相应减少长期股权投资的账面价值；对于</w:t>
      </w:r>
    </w:p>
    <w:p>
      <w:pPr>
        <w:framePr w:w="9110"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被投资单位除净损益、其他综合收益和利润分配以外所有者权益的其他变动，调整长期股权投资</w:t>
      </w:r>
    </w:p>
    <w:p>
      <w:pPr>
        <w:framePr w:w="9110" w:x="1798" w:y="603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的账面价值并计入所有者权益。</w:t>
      </w:r>
    </w:p>
    <w:p>
      <w:pPr>
        <w:framePr w:w="9110" w:x="1798" w:y="807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本公司在确认应享有被投资单位净损益的份额时，以取得投资时被投资单位各项可辨认资产</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等的公允价值为基础，对被投资单位的净利润进行调整后确认。本公司与联营企业、合营企业之</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间发生的未实现内部交易损益按照应享有的比例计算归属于本公司的部分予以抵销，在此基础上</w:t>
      </w:r>
    </w:p>
    <w:p>
      <w:pPr>
        <w:framePr w:w="9110" w:x="179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确认投资损益。</w:t>
      </w:r>
    </w:p>
    <w:p>
      <w:pPr>
        <w:framePr w:w="9110" w:x="1798" w:y="97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本公司确认应分担被投资单位发生的亏损时，按照以下顺序进行处理：首先，冲减长期股权</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投资的账面价值。其次，长期股权投资的账面价值不足以冲减的，以其他实质上构成对被投资单</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位净投资的长期权益账面价值为限继续确认投资损失，冲减长期应收项目等的账面价值。最后，</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经过上述处理，按照投资合同或协议约定企业仍承担额外义务的，按预计承担的义务确认预计负</w:t>
      </w:r>
    </w:p>
    <w:p>
      <w:pPr>
        <w:framePr w:w="9110" w:x="1798" w:y="970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债，计入当期投资损失。</w:t>
      </w:r>
    </w:p>
    <w:p>
      <w:pPr>
        <w:framePr w:w="9110" w:x="1798" w:y="11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被投资单位以后期间实现盈利的，公司在扣除未确认的亏损分担额后，按与上述相反的顺序</w:t>
      </w:r>
    </w:p>
    <w:p>
      <w:pPr>
        <w:framePr w:w="9110"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处理，减记已确认预计负债的账面余额、恢复其他实质上构成对被投资单位净投资的长期权益及</w:t>
      </w:r>
    </w:p>
    <w:p>
      <w:pPr>
        <w:framePr w:w="9110"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长期股权投资的账面价值后，恢复确认投资收益。</w:t>
      </w:r>
    </w:p>
    <w:p>
      <w:pPr>
        <w:framePr w:w="3302" w:x="2220" w:y="12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．长期股权投资核算方法的转换</w:t>
      </w:r>
    </w:p>
    <w:p>
      <w:pPr>
        <w:framePr w:w="3302" w:x="2218" w:y="13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）公允价值计量转权益法核算</w:t>
      </w:r>
    </w:p>
    <w:p>
      <w:pPr>
        <w:framePr w:w="9110"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本公司原持有的对被投资单位不具有控制、共同控制或重大影响的按金融工具确认和计量准</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则进行会计处理的权益性投资，因追加投资等原因能够对被投资单位施加重大影响或实施共同控</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制但不构成控制的，按照《企业会计准则第</w:t>
      </w:r>
      <w:r>
        <w:rPr>
          <w:rFonts w:eastAsiaTheme="minorEastAsia" w:hAnsiTheme="minorHAnsi" w:cstheme="minorBidi"/>
          <w:color w:val="000000"/>
          <w:spacing w:val="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pacing w:val="-1"/>
          <w:sz w:val="21"/>
          <w:szCs w:val="22"/>
          <w:lang w:val="en-US" w:eastAsia="en-US" w:bidi="ar-SA"/>
        </w:rPr>
        <w:t>号——金融工具确认和计量》确定的原持有的股权</w:t>
      </w:r>
    </w:p>
    <w:p>
      <w:pPr>
        <w:framePr w:w="7632" w:x="179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投资的公允价值加上新增投资成本之和，作为改按权益法核算的初始投资成本。</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2" type="#_x0000_t75" style="width:445.6pt;height:2.7pt;margin-top:53.65pt;margin-left:87.45pt;mso-position-horizontal-relative:page;mso-position-vertical-relative:page;position:absolute;z-index:-25159065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7" w:name="br1_66"/>
      <w:bookmarkEnd w:id="6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原持有的股权投资分类为可供出售金融资产的，其公允价值与账面价值之间的差额，以及原</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计入其他综合收益的累计公允价值变动转入改按权益法核算的当期损益。</w:t>
      </w:r>
    </w:p>
    <w:p>
      <w:pPr>
        <w:framePr w:w="9110" w:x="1798" w:y="153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按权益法核算的初始投资成本小于按照追加投资后全新的持股比例计算确定的应享有被投资</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单位在追加投资日可辨认净资产公允价值份额之间的差额，调整长期股权投资的账面价值，并计</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入当期营业外收入。</w:t>
      </w:r>
    </w:p>
    <w:p>
      <w:pPr>
        <w:framePr w:w="4570" w:x="2218"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）公允价值计量或权益法核算转成本法核算</w:t>
      </w:r>
    </w:p>
    <w:p>
      <w:pPr>
        <w:framePr w:w="9322" w:x="1798" w:y="39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本公司原持有的对被投资单位不具有控制、共同控制或重大影响的按金融工具确认和计量准</w:t>
      </w:r>
    </w:p>
    <w:p>
      <w:pPr>
        <w:framePr w:w="9322"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则进行会计处理的权益性投资，或原持有对联营企业、合营企业的长期股权投资，因追加投资等</w:t>
      </w:r>
    </w:p>
    <w:p>
      <w:pPr>
        <w:framePr w:w="9322"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原因能够对非同一控制下的被投资单位实施控制的，在编制个别财务报表时，按照原持有的股权</w:t>
      </w:r>
    </w:p>
    <w:p>
      <w:pPr>
        <w:framePr w:w="9322"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投资账面价值加上新增投资成本之和，作为改按成本法核算的初始投资成本。</w:t>
      </w:r>
    </w:p>
    <w:p>
      <w:pPr>
        <w:framePr w:w="9322" w:x="1798" w:y="3989"/>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购买日之前持有的股权投资因采用权益法核算而确认的其他综合收益，在处置该项投资时采</w:t>
      </w:r>
    </w:p>
    <w:p>
      <w:pPr>
        <w:framePr w:w="9322"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用与被投资单位直接处置相关资产或负债相同的基础进行会计处理。</w:t>
      </w:r>
    </w:p>
    <w:p>
      <w:pPr>
        <w:framePr w:w="9322" w:x="1798" w:y="398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购买日之前持有的股权投资按照《企业会计准则第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pacing w:val="-3"/>
          <w:sz w:val="21"/>
          <w:szCs w:val="22"/>
          <w:lang w:val="en-US" w:eastAsia="en-US" w:bidi="ar-SA"/>
        </w:rPr>
        <w:t>号——金融工具确认和计量》的有关规</w:t>
      </w:r>
    </w:p>
    <w:p>
      <w:pPr>
        <w:framePr w:w="9322" w:x="1798" w:y="39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定进行会计处理的，原计入其他综合收益的累计公允价值变动在改按成本法核算时转入当期损益。</w:t>
      </w:r>
    </w:p>
    <w:p>
      <w:pPr>
        <w:framePr w:w="9322" w:x="1798" w:y="398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）权益法核算转公允价值计量</w:t>
      </w:r>
    </w:p>
    <w:p>
      <w:pPr>
        <w:framePr w:w="9110" w:x="1798" w:y="76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本公司因处置部分股权投资等原因丧失了对被投资单位的共同控制或重大影响的，处置后的</w:t>
      </w:r>
    </w:p>
    <w:p>
      <w:pPr>
        <w:framePr w:w="9110"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剩余股权改按《企业会计准则第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pacing w:val="-2"/>
          <w:sz w:val="21"/>
          <w:szCs w:val="22"/>
          <w:lang w:val="en-US" w:eastAsia="en-US" w:bidi="ar-SA"/>
        </w:rPr>
        <w:t>号——金融工具确认和计量》核算，其在丧失共同控制或重大</w:t>
      </w:r>
    </w:p>
    <w:p>
      <w:pPr>
        <w:framePr w:w="9110" w:x="1798" w:y="76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影响之日的公允价值与账面价值之间的差额计入当期损益。</w:t>
      </w:r>
    </w:p>
    <w:p>
      <w:pPr>
        <w:framePr w:w="9068" w:x="1798" w:y="88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原股权投资因采用权益法核算而确认的其他综合收益，在终止采用权益法核算时采用与被投</w:t>
      </w:r>
    </w:p>
    <w:p>
      <w:pPr>
        <w:framePr w:w="9068"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资单位直接处置相关资产或负债相同的基础进行会计处理。</w:t>
      </w:r>
    </w:p>
    <w:p>
      <w:pPr>
        <w:framePr w:w="2246" w:x="2218" w:y="9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）成本法转权益法</w:t>
      </w:r>
    </w:p>
    <w:p>
      <w:pPr>
        <w:framePr w:w="9184" w:x="1798" w:y="1011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本公司因处置部分权益性投资等原因丧失了对被投资单位的控制的，在编制个别财务报表时，</w:t>
      </w:r>
    </w:p>
    <w:p>
      <w:pPr>
        <w:framePr w:w="9184" w:x="1798" w:y="10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处置后的剩余股权能够对被投资单位实施共同控制或施加重大影响的，改按权益法核算，并对该</w:t>
      </w:r>
    </w:p>
    <w:p>
      <w:pPr>
        <w:framePr w:w="9184" w:x="1798" w:y="1011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剩余股权视同自取得时即采用权益法核算进行调整。</w:t>
      </w:r>
    </w:p>
    <w:p>
      <w:pPr>
        <w:framePr w:w="2880" w:x="2218" w:y="11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）成本法转公允价值计量</w:t>
      </w:r>
    </w:p>
    <w:p>
      <w:pPr>
        <w:framePr w:w="9184" w:x="1798" w:y="117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本公司因处置部分权益性投资等原因丧失了对被投资单位的控制的，在编制个别财务报表时，</w:t>
      </w:r>
    </w:p>
    <w:p>
      <w:pPr>
        <w:framePr w:w="9184" w:x="1798" w:y="11751"/>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处置后的剩余股权不能对被投资单位实施共同控制或施加重大影响的，改按《企业会计准则第</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p>
    <w:p>
      <w:pPr>
        <w:framePr w:w="9184"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号——金融工具确认和计量》的有关规定进行会计处理，其在丧失控制之日的公允价值与账面价</w:t>
      </w:r>
    </w:p>
    <w:p>
      <w:pPr>
        <w:framePr w:w="9184" w:x="1798" w:y="117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值间的差额计入当期损益。</w:t>
      </w:r>
    </w:p>
    <w:p>
      <w:pPr>
        <w:framePr w:w="2458" w:x="2220" w:y="13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．长期股权投资的处置</w:t>
      </w:r>
    </w:p>
    <w:p>
      <w:pPr>
        <w:framePr w:w="9110"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处置长期股权投资，其账面价值与实际取得价款之间的差额，应当计入当期损益。采用权益</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法核算的长期股权投资，在处置该项投资时，采用与被投资单位直接处置相关资产或负债相同的</w:t>
      </w:r>
    </w:p>
    <w:p>
      <w:pPr>
        <w:framePr w:w="9110"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基础，按相应比例对原计入其他综合收益的部分进行会计处理。</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3" type="#_x0000_t75" style="width:445.6pt;height:2.7pt;margin-top:53.65pt;margin-left:87.45pt;mso-position-horizontal-relative:page;mso-position-vertical-relative:page;position:absolute;z-index:-25158963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8" w:name="br1_67"/>
      <w:bookmarkEnd w:id="6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处置对子公司股权投资的各项交易的条款、条件以及经济影响符合以下一种或多种情况，将</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多次交易事项作为一揽子交易进行会计处理：</w:t>
      </w:r>
    </w:p>
    <w:p>
      <w:pPr>
        <w:framePr w:w="6048"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）这些交易是同时或者在考虑了彼此影响的情况下订立的；</w:t>
      </w:r>
    </w:p>
    <w:p>
      <w:pPr>
        <w:framePr w:w="4992" w:x="2218"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）这些交易整体才能达成一项完整的商业结果；</w:t>
      </w:r>
    </w:p>
    <w:p>
      <w:pPr>
        <w:framePr w:w="5414" w:x="2218" w:y="31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）一项交易的发生取决于其他至少一项交易的发生；</w:t>
      </w:r>
    </w:p>
    <w:p>
      <w:pPr>
        <w:framePr w:w="9068" w:x="1798" w:y="357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）一项交易单独看是不经济的，但是和其他交易一并考虑时是经济的。</w:t>
      </w:r>
    </w:p>
    <w:p>
      <w:pPr>
        <w:framePr w:w="9068" w:x="1798" w:y="3578"/>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因处置部分股权投资或其他原因丧失了对原有子公司控制权的，不属于一揽子交易的，区分</w:t>
      </w:r>
    </w:p>
    <w:p>
      <w:pPr>
        <w:framePr w:w="9068" w:x="1798" w:y="35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个别财务报表和合并财务报表进行相关会计处理：</w:t>
      </w:r>
    </w:p>
    <w:p>
      <w:pPr>
        <w:framePr w:w="9110" w:x="1798" w:y="48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）在个别财务报表中，对于处置的股权，其账面价值与实际取得价款之间的差额计入当期</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损益。处置后的剩余股权能够对被投资单位实施共同控制或施加重大影响的，改按权益法核算，</w:t>
      </w:r>
    </w:p>
    <w:p>
      <w:pPr>
        <w:framePr w:w="9110" w:x="1798" w:y="480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并对该剩余股权视同自取得时即采用权益法核算进行调整；处置后的剩余股权不能对被投资单位</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实施共同控制或施加重大影响的，改按《企业会计准则第</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w:t>
      </w:r>
      <w:r>
        <w:rPr>
          <w:rFonts w:ascii="SimSun" w:hAnsi="SimSun" w:eastAsiaTheme="minorEastAsia" w:cs="SimSun"/>
          <w:color w:val="000000"/>
          <w:spacing w:val="-2"/>
          <w:sz w:val="21"/>
          <w:szCs w:val="22"/>
          <w:lang w:val="en-US" w:eastAsia="en-US" w:bidi="ar-SA"/>
        </w:rPr>
        <w:t>号——金融工具确认和计量》的有关</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规定进行会计处理，其在丧失控制之日的公允价值与账面价值间的差额计入当期损益。</w:t>
      </w:r>
    </w:p>
    <w:p>
      <w:pPr>
        <w:framePr w:w="9110" w:x="1798" w:y="480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）在合并财务报表中，对于在丧失对子公司控制权以前的各项交易，处置价款与处置长期</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股权投资相应对享有子公司自购买日或合并日开始持续计算的净资产份额之间的差额，调整资本</w:t>
      </w:r>
    </w:p>
    <w:p>
      <w:pPr>
        <w:framePr w:w="9110" w:x="1798" w:y="480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公积（股本溢价），资本公积不足冲减的，调整留存收益；在丧失对子公司控制权时，对于剩余</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股权，按照其在丧失控制权日的公允价值进行重新计量。处置股权取得的对价与剩余股权公允价</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值之和，减去按原持股比例计算应享有原有子公司自购买日开始持续计算的净资产的份额之间的</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差额，计入丧失控制权当期的投资收益，同时冲减商誉。与原有子公司股权投资相关的其他综合</w:t>
      </w:r>
    </w:p>
    <w:p>
      <w:pPr>
        <w:framePr w:w="9110" w:x="1798" w:y="48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收益等，在丧失控制权时转为当期投资收益。</w:t>
      </w:r>
    </w:p>
    <w:p>
      <w:pPr>
        <w:framePr w:w="9110" w:x="1798" w:y="97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处置对子公司股权投资直至丧失控制权的各项交易属于一揽子交易的，将各项交易作为一项</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处置子公司股权投资并丧失控制权的交易进行会计处理，区分个别财务报表和合并财务报表进行</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相关会计处理：</w:t>
      </w:r>
    </w:p>
    <w:p>
      <w:pPr>
        <w:framePr w:w="9322" w:x="1798" w:y="109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）在个别财务报表中，在丧失控制权之前每一次处置价款与处置的股权对应的长期股权投</w:t>
      </w:r>
    </w:p>
    <w:p>
      <w:pPr>
        <w:framePr w:w="9322" w:x="1798" w:y="109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资账面价值之间的差额，确认为其他综合收益，在丧失控制权时一并转入丧失控制权当期的损益。</w:t>
      </w:r>
    </w:p>
    <w:p>
      <w:pPr>
        <w:framePr w:w="9322" w:x="1798" w:y="1093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）在合并财务报表中，在丧失控制权之前每一次处置价款与处置投资对应的享有该子公司</w:t>
      </w:r>
    </w:p>
    <w:p>
      <w:pPr>
        <w:framePr w:w="9322" w:x="1798" w:y="109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净资产份额的差额，确认为其他综合收益，在丧失控制权时一并转入丧失控制权当期的损益。</w:t>
      </w:r>
    </w:p>
    <w:p>
      <w:pPr>
        <w:framePr w:w="9322" w:x="1798" w:y="10933"/>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．共同控制、重大影响的判断标准</w:t>
      </w:r>
    </w:p>
    <w:p>
      <w:pPr>
        <w:framePr w:w="9110" w:x="1798" w:y="129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如果本公司按照相关约定与其他参与方集体控制某项安排，并且对该安排回报具有重大影响</w:t>
      </w:r>
    </w:p>
    <w:p>
      <w:pPr>
        <w:framePr w:w="9110" w:x="1798" w:y="1297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的活动决策，需要经过分享控制权的参与方一致同意时才存在，则视为本公司与其他参与方共同</w:t>
      </w:r>
    </w:p>
    <w:p>
      <w:pPr>
        <w:framePr w:w="9110" w:x="1798" w:y="1297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控制某项安排，该安排即属于合营安排。</w:t>
      </w:r>
    </w:p>
    <w:p>
      <w:pPr>
        <w:framePr w:w="9184" w:x="1798" w:y="1420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合营安排通过单独主体达成的，根据相关约定判断本公司对该单独主体的净资产享有权利时，</w:t>
      </w:r>
    </w:p>
    <w:p>
      <w:pPr>
        <w:framePr w:w="9184" w:x="1798" w:y="1420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将该单独主体作为合营企业，采用权益法核算。若根据相关约定判断本公司并非对该单独主体的</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69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4" type="#_x0000_t75" style="width:445.6pt;height:2.7pt;margin-top:53.65pt;margin-left:87.45pt;mso-position-horizontal-relative:page;mso-position-vertical-relative:page;position:absolute;z-index:-25158860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69" w:name="br1_68"/>
      <w:bookmarkEnd w:id="6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净资产享有权利时，该单独主体作为共同经营，本公司确认与共同经营利益份额相关的项目，并</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按照相关企业会计准则的规定进行会计处理。</w:t>
      </w:r>
    </w:p>
    <w:p>
      <w:pPr>
        <w:framePr w:w="9216"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重大影响，是指投资方对被投资单位的财务和经营政策有参与决策的权力，但并不能够控制</w:t>
      </w:r>
    </w:p>
    <w:p>
      <w:pPr>
        <w:framePr w:w="9216"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或者与其他方一起共同控制这些政策的制定。本公司通过以下一种或多种情形，并综合考虑所有</w:t>
      </w:r>
    </w:p>
    <w:p>
      <w:pPr>
        <w:framePr w:w="9216"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事实和情况后，判断对被投资单位具有重大影响。（</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）在被投资单位的董事会或类似权力机构中</w:t>
      </w:r>
    </w:p>
    <w:p>
      <w:pPr>
        <w:framePr w:w="9216"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派有代表；（</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）参与被投资单位财务和经营政策制定过程；（</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）与被投资单位之间发生重要交</w:t>
      </w:r>
    </w:p>
    <w:p>
      <w:pPr>
        <w:framePr w:w="9216" w:x="1798" w:y="235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易；（</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）向被投资单位派出管理人员；（</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）向被投资单位提供关键技术资料。</w:t>
      </w:r>
    </w:p>
    <w:p>
      <w:pPr>
        <w:framePr w:w="1932" w:x="1798" w:y="443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22.</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投资性房地产</w:t>
      </w:r>
    </w:p>
    <w:p>
      <w:pPr>
        <w:framePr w:w="2986" w:x="1798" w:y="47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如果采用成本计量模式的</w:t>
      </w:r>
    </w:p>
    <w:p>
      <w:pPr>
        <w:framePr w:w="2986" w:x="1798" w:y="4788"/>
        <w:widowControl w:val="0"/>
        <w:autoSpaceDE w:val="0"/>
        <w:autoSpaceDN w:val="0"/>
        <w:spacing w:before="12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折旧或摊销方法</w:t>
      </w:r>
    </w:p>
    <w:p>
      <w:pPr>
        <w:framePr w:w="9110" w:x="1798" w:y="55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投资性房地产是指为赚取租金或资本增值，或两者兼有而持有的房地产，包括已出租的土地</w:t>
      </w:r>
    </w:p>
    <w:p>
      <w:pPr>
        <w:framePr w:w="9110" w:x="1798" w:y="55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使用权、持有并准备增值后转让的土地使用权、已出租的建筑物。此外，对于本公司持有以备经</w:t>
      </w:r>
    </w:p>
    <w:p>
      <w:pPr>
        <w:framePr w:w="9110" w:x="1798" w:y="55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营出租的空置建筑物，若董事会作出书面决议，明确表示将其用于经营出租且持有意图短期内不</w:t>
      </w:r>
    </w:p>
    <w:p>
      <w:pPr>
        <w:framePr w:w="9110" w:x="1798" w:y="55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再发生变化的，也作为投资性房地产列报。</w:t>
      </w:r>
    </w:p>
    <w:p>
      <w:pPr>
        <w:framePr w:w="9110" w:x="1798" w:y="72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本公司的投资性房地产按其成本作为入账价值，外购投资性房地产的成本包括购买价款、相</w:t>
      </w:r>
    </w:p>
    <w:p>
      <w:pPr>
        <w:framePr w:w="9110" w:x="1798" w:y="72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关税费和可直接归属于该资产的其他支出；自行建造投资性房地产的成本，由建造该项资产达到</w:t>
      </w:r>
    </w:p>
    <w:p>
      <w:pPr>
        <w:framePr w:w="9110" w:x="1798" w:y="726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预定可使用状态前所发生的必要支出构成。</w:t>
      </w:r>
    </w:p>
    <w:p>
      <w:pPr>
        <w:framePr w:w="9110" w:x="1798" w:y="861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本公司对投资性房地产采用成本模式进行后续计量，按其预计使用寿命及净残值率对建筑物</w:t>
      </w:r>
    </w:p>
    <w:p>
      <w:pPr>
        <w:framePr w:w="9110" w:x="1798" w:y="861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和土地使用权计提折旧或摊销。投资性房地产的预计使用寿命、净残值率及年折旧（摊销）率列</w:t>
      </w:r>
    </w:p>
    <w:p>
      <w:pPr>
        <w:framePr w:w="9110" w:x="1798" w:y="861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示如下：</w:t>
      </w:r>
    </w:p>
    <w:p>
      <w:pPr>
        <w:framePr w:w="662" w:x="2854" w:y="9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2141" w:x="4453" w:y="9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预计使用寿命（年）</w:t>
      </w:r>
    </w:p>
    <w:p>
      <w:pPr>
        <w:framePr w:w="1507" w:x="6949" w:y="9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预计净残值率</w:t>
      </w:r>
    </w:p>
    <w:p>
      <w:pPr>
        <w:framePr w:w="1930" w:x="8850" w:y="9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年折旧（摊销）率</w:t>
      </w:r>
    </w:p>
    <w:p>
      <w:pPr>
        <w:framePr w:w="1296" w:x="2540" w:y="104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房屋建筑物</w:t>
      </w:r>
    </w:p>
    <w:p>
      <w:pPr>
        <w:framePr w:w="451" w:x="5276" w:y="104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451" w:x="7475" w:y="104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p>
    <w:p>
      <w:pPr>
        <w:framePr w:w="768" w:x="9429" w:y="104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4.75%</w:t>
      </w:r>
    </w:p>
    <w:p>
      <w:pPr>
        <w:framePr w:w="9322" w:x="1798" w:y="109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投资性房地产的用途改变为自用时，自改变之日起，本公司将该投资性房地产转换为固定资</w:t>
      </w:r>
    </w:p>
    <w:p>
      <w:pPr>
        <w:framePr w:w="9322" w:x="1798" w:y="109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产或无形资产。自用房地产的用途改变为赚取租金或资本增值时，自改变之日起，本公司将固定</w:t>
      </w:r>
    </w:p>
    <w:p>
      <w:pPr>
        <w:framePr w:w="9322" w:x="1798" w:y="1096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资产或无形资产转换为投资性房地产。发生转换时，以转换前的账面价值作为转换后的入账价值。</w:t>
      </w:r>
    </w:p>
    <w:p>
      <w:pPr>
        <w:framePr w:w="9110" w:x="1798" w:y="123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当投资性房地产被处置，或者永久退出使用且预计不能从其处置中取得经济利益时，终止确</w:t>
      </w:r>
    </w:p>
    <w:p>
      <w:pPr>
        <w:framePr w:w="9110" w:x="1798" w:y="123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认该项投资性房地产。投资性房地产出售、转让、报废或毁损的处置收入扣除其账面价值和相关</w:t>
      </w:r>
    </w:p>
    <w:p>
      <w:pPr>
        <w:framePr w:w="9110" w:x="1798" w:y="123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税费后的金额计入当期损益。</w:t>
      </w:r>
    </w:p>
    <w:p>
      <w:pPr>
        <w:framePr w:w="1817" w:x="1798" w:y="1363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23.</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固定资产</w:t>
      </w:r>
    </w:p>
    <w:p>
      <w:pPr>
        <w:framePr w:w="1817" w:x="1798" w:y="13638"/>
        <w:widowControl w:val="0"/>
        <w:autoSpaceDE w:val="0"/>
        <w:autoSpaceDN w:val="0"/>
        <w:spacing w:before="95"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确认条件</w:t>
      </w:r>
    </w:p>
    <w:p>
      <w:pPr>
        <w:framePr w:w="1817" w:x="1798" w:y="13638"/>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5" type="#_x0000_t75" style="width:445.6pt;height:2.7pt;margin-top:53.65pt;margin-left:87.45pt;mso-position-horizontal-relative:page;mso-position-vertical-relative:page;position:absolute;z-index:-251467776">
            <v:imagedata r:id="rId103" o:title=""/>
          </v:shape>
        </w:pict>
      </w:r>
      <w:r>
        <w:rPr>
          <w:noProof/>
        </w:rPr>
        <w:pict>
          <v:shape id="_x0000_s1156" type="#_x0000_t75" style="width:445.6pt;height:46.4pt;margin-top:495.45pt;margin-left:87.6pt;mso-position-horizontal-relative:page;mso-position-vertical-relative:page;position:absolute;z-index:-251587584">
            <v:imagedata r:id="rId104" o:title=""/>
          </v:shape>
        </w:pict>
      </w:r>
    </w:p>
    <w:p>
      <w:pPr>
        <w:spacing w:line="0" w:lineRule="atLeast"/>
        <w:rPr>
          <w:rFonts w:ascii="Arial" w:eastAsiaTheme="minorEastAsia" w:hAnsiTheme="minorHAnsi" w:cstheme="minorBidi"/>
          <w:color w:val="FF0000"/>
          <w:sz w:val="2"/>
          <w:szCs w:val="22"/>
          <w:lang w:val="en-US" w:eastAsia="en-US" w:bidi="ar-SA"/>
        </w:rPr>
      </w:pPr>
      <w:bookmarkStart w:id="70" w:name="br1_69"/>
      <w:bookmarkEnd w:id="7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6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固定资产指为生产商品、提供劳务、出租或经营管理而持有，并且使用寿命超过一个会计年</w:t>
      </w:r>
    </w:p>
    <w:p>
      <w:pPr>
        <w:framePr w:w="906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度的有形资产。固定资产在同时满足下列条件时予以确认：</w:t>
      </w:r>
    </w:p>
    <w:p>
      <w:pPr>
        <w:framePr w:w="9068" w:x="1798" w:y="1535"/>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）与该固定资产有关的经济利益很可能流入企业；</w:t>
      </w:r>
    </w:p>
    <w:p>
      <w:pPr>
        <w:framePr w:w="4147" w:x="2218" w:y="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）该固定资产的成本能够可靠地计量。</w:t>
      </w:r>
    </w:p>
    <w:p>
      <w:pPr>
        <w:framePr w:w="1510" w:x="1798" w:y="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折旧方法</w:t>
      </w:r>
    </w:p>
    <w:p>
      <w:pPr>
        <w:framePr w:w="1817" w:x="1798" w:y="3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1798" w:y="3844"/>
        <w:widowControl w:val="0"/>
        <w:autoSpaceDE w:val="0"/>
        <w:autoSpaceDN w:val="0"/>
        <w:spacing w:line="211" w:lineRule="exact"/>
        <w:ind w:left="5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507" w:x="1798" w:y="3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房屋及建筑物</w:t>
      </w:r>
    </w:p>
    <w:p>
      <w:pPr>
        <w:framePr w:w="1507" w:x="1798" w:y="3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机器设备</w:t>
      </w:r>
    </w:p>
    <w:p>
      <w:pPr>
        <w:framePr w:w="1469" w:x="3516" w:y="3844"/>
        <w:widowControl w:val="0"/>
        <w:autoSpaceDE w:val="0"/>
        <w:autoSpaceDN w:val="0"/>
        <w:spacing w:line="211" w:lineRule="exact"/>
        <w:ind w:left="38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折旧方法</w:t>
      </w:r>
    </w:p>
    <w:p>
      <w:pPr>
        <w:framePr w:w="1469" w:x="3516" w:y="3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469" w:x="3516" w:y="3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469" w:x="3516" w:y="384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469" w:x="3516" w:y="38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年限平均法</w:t>
      </w:r>
    </w:p>
    <w:p>
      <w:pPr>
        <w:framePr w:w="1786" w:x="5348" w:y="3844"/>
        <w:widowControl w:val="0"/>
        <w:autoSpaceDE w:val="0"/>
        <w:autoSpaceDN w:val="0"/>
        <w:spacing w:line="211" w:lineRule="exact"/>
        <w:ind w:left="7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折旧年限（年）</w:t>
      </w:r>
    </w:p>
    <w:p>
      <w:pPr>
        <w:framePr w:w="1786" w:x="5348" w:y="38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874" w:x="7674" w:y="38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残值率</w:t>
      </w:r>
    </w:p>
    <w:p>
      <w:pPr>
        <w:framePr w:w="1472" w:x="9013" w:y="3844"/>
        <w:widowControl w:val="0"/>
        <w:autoSpaceDE w:val="0"/>
        <w:autoSpaceDN w:val="0"/>
        <w:spacing w:line="211" w:lineRule="exact"/>
        <w:ind w:left="38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年折旧率</w:t>
      </w:r>
    </w:p>
    <w:p>
      <w:pPr>
        <w:framePr w:w="1472" w:x="9013" w:y="38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4.75</w:t>
      </w:r>
    </w:p>
    <w:p>
      <w:pPr>
        <w:framePr w:w="346" w:x="7182" w:y="41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7182" w:y="41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p>
    <w:p>
      <w:pPr>
        <w:framePr w:w="346" w:x="7182" w:y="4128"/>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346" w:x="7182" w:y="412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662" w:x="5348" w:y="44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5-10</w:t>
      </w:r>
    </w:p>
    <w:p>
      <w:pPr>
        <w:framePr w:w="662" w:x="5348" w:y="441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1296" w:x="9013" w:y="44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9.70-19.40</w:t>
      </w:r>
    </w:p>
    <w:p>
      <w:pPr>
        <w:framePr w:w="1296" w:x="9013" w:y="441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19.00</w:t>
      </w:r>
    </w:p>
    <w:p>
      <w:pPr>
        <w:framePr w:w="1085" w:x="1798" w:y="46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运输设备</w:t>
      </w:r>
    </w:p>
    <w:p>
      <w:pPr>
        <w:framePr w:w="1085" w:x="1798" w:y="4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电子设备</w:t>
      </w:r>
    </w:p>
    <w:p>
      <w:pPr>
        <w:framePr w:w="557" w:x="5348" w:y="49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w:t>
      </w:r>
    </w:p>
    <w:p>
      <w:pPr>
        <w:framePr w:w="1402" w:x="9013" w:y="49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19.00-31.67</w:t>
      </w:r>
    </w:p>
    <w:p>
      <w:pPr>
        <w:framePr w:w="5098" w:x="1798" w:y="55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融资租入固定资产的认定依据、计价和折旧方法</w:t>
      </w:r>
    </w:p>
    <w:p>
      <w:pPr>
        <w:framePr w:w="1817" w:x="1798" w:y="59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843" w:x="2218" w:y="6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当本公司租入的固定资产符合下列一项或数项标准时，确认为融资租入固定资产：</w:t>
      </w:r>
    </w:p>
    <w:p>
      <w:pPr>
        <w:framePr w:w="7843" w:x="2218" w:y="63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）在租赁期届满时，租赁资产的所有权转移给本公司。</w:t>
      </w:r>
    </w:p>
    <w:p>
      <w:pPr>
        <w:framePr w:w="9078" w:x="1798" w:y="71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）本公司有购买租赁资产的选择权，所订立的购买价款预计将远低于行使选择权时租赁资</w:t>
      </w:r>
    </w:p>
    <w:p>
      <w:pPr>
        <w:framePr w:w="9078" w:x="1798" w:y="71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产的公允价值，因而在租赁开始日就可以合理确定本公司将会行使这种选择权。</w:t>
      </w:r>
    </w:p>
    <w:p>
      <w:pPr>
        <w:framePr w:w="9078" w:x="1798" w:y="7148"/>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）即使资产的所有权不转移，但租赁期占租赁资产使用寿命的大部分。</w:t>
      </w:r>
    </w:p>
    <w:p>
      <w:pPr>
        <w:framePr w:w="9005" w:x="2218" w:y="83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5"/>
          <w:sz w:val="21"/>
          <w:szCs w:val="22"/>
          <w:lang w:val="en-US" w:eastAsia="en-US" w:bidi="ar-SA"/>
        </w:rPr>
        <w:t>）本公司在租赁开始日的最低租赁付款额现值，几乎相当于租赁开始日租赁资产公允价值。</w:t>
      </w:r>
    </w:p>
    <w:p>
      <w:pPr>
        <w:framePr w:w="9005" w:x="2218" w:y="83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）租赁资产性质特殊，如果不作较大改造，只有本公司才能使用。</w:t>
      </w:r>
    </w:p>
    <w:p>
      <w:pPr>
        <w:framePr w:w="9110" w:x="1798" w:y="91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融资租赁租入的固定资产，按租赁开始日租赁资产公允价值与最低租赁付款额的现值两者中</w:t>
      </w:r>
    </w:p>
    <w:p>
      <w:pPr>
        <w:framePr w:w="9110" w:x="1798" w:y="91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较低者，作为入账价值。最低租赁付款额作为长期应付款的入账价值，其差额作为未确认融资费</w:t>
      </w:r>
    </w:p>
    <w:p>
      <w:pPr>
        <w:framePr w:w="9110" w:x="1798" w:y="919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用。在租赁谈判和签订租赁合同过程中发生的，可归属于租赁项目的手续费、律师费、差旅费、</w:t>
      </w:r>
    </w:p>
    <w:p>
      <w:pPr>
        <w:framePr w:w="9110" w:x="1798" w:y="91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印花税等初始直接费用，计入租入资产价值。未确认融资费用在租赁期内各个期间采用实际利率</w:t>
      </w:r>
    </w:p>
    <w:p>
      <w:pPr>
        <w:framePr w:w="9110" w:x="1798" w:y="91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法进行分摊。</w:t>
      </w:r>
    </w:p>
    <w:p>
      <w:pPr>
        <w:framePr w:w="9110" w:x="1798" w:y="1123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本公司采用与自有固定资产相一致的折旧政策计提融资租入固定资产折旧。能够合理确定租</w:t>
      </w:r>
    </w:p>
    <w:p>
      <w:pPr>
        <w:framePr w:w="9110" w:x="1798" w:y="1123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赁期届满时取得租赁资产所有权的，在租赁资产使用寿命内计提折旧。无法合理确定租赁期届满</w:t>
      </w:r>
    </w:p>
    <w:p>
      <w:pPr>
        <w:framePr w:w="9110" w:x="1798" w:y="112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时能够取得租赁资产所有权的，在租赁期与租赁资产使用寿命两者中较短的期间内计提折旧。</w:t>
      </w:r>
    </w:p>
    <w:p>
      <w:pPr>
        <w:framePr w:w="1510" w:x="1798" w:y="1250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24.</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在建工程</w:t>
      </w:r>
    </w:p>
    <w:p>
      <w:pPr>
        <w:framePr w:w="1817" w:x="1798" w:y="128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46" w:x="2218" w:y="1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．在建工程初始计量</w:t>
      </w:r>
    </w:p>
    <w:p>
      <w:pPr>
        <w:framePr w:w="9110" w:x="1798" w:y="135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本公司自行建造的在建工程按实际成本计价，实际成本由建造该项资产达到预定可使用状态</w:t>
      </w:r>
    </w:p>
    <w:p>
      <w:pPr>
        <w:framePr w:w="9110" w:x="1798" w:y="135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前所发生的必要支出构成，包括工程用物资成本、人工成本、交纳的相关税费、应予资本化的借</w:t>
      </w:r>
    </w:p>
    <w:p>
      <w:pPr>
        <w:framePr w:w="9110" w:x="1798" w:y="1353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款费用以及应分摊的间接费用等。</w:t>
      </w:r>
    </w:p>
    <w:p>
      <w:pPr>
        <w:framePr w:w="4147" w:x="2220" w:y="147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．在建工程结转为固定资产的标准和时点</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7" type="#_x0000_t75" style="width:445.6pt;height:2.7pt;margin-top:53.65pt;margin-left:87.45pt;mso-position-horizontal-relative:page;mso-position-vertical-relative:page;position:absolute;z-index:-251466752">
            <v:imagedata r:id="rId105" o:title=""/>
          </v:shape>
        </w:pict>
      </w:r>
      <w:r>
        <w:rPr>
          <w:noProof/>
        </w:rPr>
        <w:pict>
          <v:shape id="_x0000_s1158" type="#_x0000_t75" style="width:454.95pt;height:73.15pt;margin-top:189.25pt;margin-left:83.25pt;mso-position-horizontal-relative:page;mso-position-vertical-relative:page;position:absolute;z-index:-251586560">
            <v:imagedata r:id="rId106" o:title=""/>
          </v:shape>
        </w:pict>
      </w:r>
    </w:p>
    <w:p>
      <w:pPr>
        <w:spacing w:line="0" w:lineRule="atLeast"/>
        <w:rPr>
          <w:rFonts w:ascii="Arial" w:eastAsiaTheme="minorEastAsia" w:hAnsiTheme="minorHAnsi" w:cstheme="minorBidi"/>
          <w:color w:val="FF0000"/>
          <w:sz w:val="2"/>
          <w:szCs w:val="22"/>
          <w:lang w:val="en-US" w:eastAsia="en-US" w:bidi="ar-SA"/>
        </w:rPr>
      </w:pPr>
      <w:bookmarkStart w:id="71" w:name="br1_70"/>
      <w:bookmarkEnd w:id="7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在建工程项目按建造该项资产达到预定可使用状态前所发生的全部支出，作为固定资产的入</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账价值。所建造的在建工程已达到预定可使用状态，但尚未办理竣工决算的，自达到预定可使用</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状态之日起，根据工程预算、造价或者工程实际成本等，按估计的价值转入固定资产，并按本公</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司固定资产折旧政策计提固定资产的折旧，待办理竣工决算后，再按实际成本调整原来的暂估价</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值，但不调整原已计提的折旧额。</w:t>
      </w:r>
    </w:p>
    <w:p>
      <w:pPr>
        <w:framePr w:w="1510" w:x="1798" w:y="361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25.</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借款费用</w:t>
      </w:r>
    </w:p>
    <w:p>
      <w:pPr>
        <w:framePr w:w="1817" w:x="1798" w:y="3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91" w:x="2218" w:y="4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．借款费用资本化的确认原则</w:t>
      </w:r>
    </w:p>
    <w:p>
      <w:pPr>
        <w:framePr w:w="9069" w:x="1798" w:y="47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本公司发生的借款费用，可直接归属于符合资本化条件的资产的购建或者生产的，予以资本</w:t>
      </w:r>
    </w:p>
    <w:p>
      <w:pPr>
        <w:framePr w:w="9069" w:x="1798" w:y="4788"/>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化，计入相关资产成本；其他借款费用，在发生时根据其发生额确认为费用，计入当期损益。</w:t>
      </w:r>
    </w:p>
    <w:p>
      <w:pPr>
        <w:framePr w:w="9069" w:x="1798" w:y="478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符合资本化条件的资产，是指需要经过相当长时间的购建或者生产活动才能达到预定可使用</w:t>
      </w:r>
    </w:p>
    <w:p>
      <w:pPr>
        <w:framePr w:w="9069" w:x="1798" w:y="47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或者可销售状态的固定资产、投资性房地产和存货等资产。</w:t>
      </w:r>
    </w:p>
    <w:p>
      <w:pPr>
        <w:framePr w:w="9069" w:x="1798" w:y="478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借款费用同时满足下列条件时开始资本化：</w:t>
      </w:r>
    </w:p>
    <w:p>
      <w:pPr>
        <w:framePr w:w="9184" w:x="1798" w:y="68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5"/>
          <w:sz w:val="21"/>
          <w:szCs w:val="22"/>
          <w:lang w:val="en-US" w:eastAsia="en-US" w:bidi="ar-SA"/>
        </w:rPr>
        <w:t>）资产支出已经发生，资产支出包括为购建或者生产符合资本化条件的资产而以支付现金、</w:t>
      </w:r>
    </w:p>
    <w:p>
      <w:pPr>
        <w:framePr w:w="9184" w:x="1798" w:y="683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转移非现金资产或者承担带息债务形式发生的支出；</w:t>
      </w:r>
    </w:p>
    <w:p>
      <w:pPr>
        <w:framePr w:w="2669" w:x="2218" w:y="76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）借款费用已经发生；</w:t>
      </w:r>
    </w:p>
    <w:p>
      <w:pPr>
        <w:framePr w:w="8160" w:x="2218" w:y="8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）为使资产达到预定可使用或者可销售状态所必要的购建或者生产活动已经开始。</w:t>
      </w:r>
    </w:p>
    <w:p>
      <w:pPr>
        <w:framePr w:w="8160" w:x="2218" w:y="805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．借款费用资本化期间</w:t>
      </w:r>
    </w:p>
    <w:p>
      <w:pPr>
        <w:framePr w:w="9068" w:x="1798" w:y="887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资本化期间，指从借款费用开始资本化时点到停止资本化时点的期间，借款费用暂停资本化</w:t>
      </w:r>
    </w:p>
    <w:p>
      <w:pPr>
        <w:framePr w:w="9068" w:x="1798" w:y="887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的期间不包括在内。</w:t>
      </w:r>
    </w:p>
    <w:p>
      <w:pPr>
        <w:framePr w:w="9068" w:x="1798" w:y="96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当购建或者生产符合资本化条件的资产达到预定可使用或者可销售状态时，借款费用停止资</w:t>
      </w:r>
    </w:p>
    <w:p>
      <w:pPr>
        <w:framePr w:w="9068" w:x="1798" w:y="96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本化。</w:t>
      </w:r>
    </w:p>
    <w:p>
      <w:pPr>
        <w:framePr w:w="9068" w:x="1798" w:y="1050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当购建或者生产符合资本化条件的资产中部分项目分别完工且可单独使用时，该部分资产借</w:t>
      </w:r>
    </w:p>
    <w:p>
      <w:pPr>
        <w:framePr w:w="9068" w:x="1798" w:y="1050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款费用停止资本化。</w:t>
      </w:r>
    </w:p>
    <w:p>
      <w:pPr>
        <w:framePr w:w="9068" w:x="1798" w:y="1132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购建或者生产的资产的各部分分别完工，但必须等到整体完工后才可使用或可对外销售的，</w:t>
      </w:r>
    </w:p>
    <w:p>
      <w:pPr>
        <w:framePr w:w="9068" w:x="1798" w:y="1132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在该资产整体完工时停止借款费用资本化。</w:t>
      </w:r>
    </w:p>
    <w:p>
      <w:pPr>
        <w:framePr w:w="2136" w:x="2220" w:y="121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暂停资本化期间</w:t>
      </w:r>
    </w:p>
    <w:p>
      <w:pPr>
        <w:framePr w:w="9110" w:x="1798" w:y="1255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符合资本化条件的资产在购建或生产过程中发生的非正常中断、且中断时间连续超过</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pacing w:val="1"/>
          <w:sz w:val="21"/>
          <w:szCs w:val="22"/>
          <w:lang w:val="en-US" w:eastAsia="en-US" w:bidi="ar-SA"/>
        </w:rPr>
        <w:t>个月</w:t>
      </w:r>
    </w:p>
    <w:p>
      <w:pPr>
        <w:framePr w:w="9110" w:x="1798" w:y="1255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的，则借款费用暂停资本化；该项中断如是所购建或生产的符合资本化条件的资产达到预定可使</w:t>
      </w:r>
    </w:p>
    <w:p>
      <w:pPr>
        <w:framePr w:w="9110" w:x="1798" w:y="125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用状态或者可销售状态必要的程序，则借款费用继续资本化。在中断期间发生的借款费用确认为</w:t>
      </w:r>
    </w:p>
    <w:p>
      <w:pPr>
        <w:framePr w:w="9110" w:x="1798" w:y="1255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当期损益，直至资产的购建或者生产活动重新开始后借款费用继续资本化。</w:t>
      </w:r>
    </w:p>
    <w:p>
      <w:pPr>
        <w:framePr w:w="9110" w:x="1798" w:y="12551"/>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．借款费用资本化金额的计算方法</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59" type="#_x0000_t75" style="width:445.6pt;height:2.7pt;margin-top:53.65pt;margin-left:87.45pt;mso-position-horizontal-relative:page;mso-position-vertical-relative:page;position:absolute;z-index:-25158553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72" w:name="br1_71"/>
      <w:bookmarkEnd w:id="7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专门借款的利息费用（扣除尚未动用的借款资金存入银行取得的利息收入或者进行暂时性投</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资取得的投资收益）及其辅助费用在所购建或者生产的符合资本化条件的资产达到预定可使用或</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者可销售状态前，予以资本化。</w:t>
      </w:r>
    </w:p>
    <w:p>
      <w:pPr>
        <w:framePr w:w="9287"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根据累计资产支出超过专门借款部分的资产支出加权平均数乘以所占用一般借款的资本化率，</w:t>
      </w:r>
    </w:p>
    <w:p>
      <w:pPr>
        <w:framePr w:w="9287"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计算确定一般借款应予资本化的利息金额。资本化率根据一般借款加权平均利率计算确定。</w:t>
      </w:r>
    </w:p>
    <w:p>
      <w:pPr>
        <w:framePr w:w="9110" w:x="1798" w:y="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借款存在折价或者溢价的，按照实际利率法确定每一会计期间应摊销的折价或者溢价金额，调整</w:t>
      </w:r>
    </w:p>
    <w:p>
      <w:pPr>
        <w:framePr w:w="9110" w:x="1798" w:y="357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每期利息金额。</w:t>
      </w:r>
    </w:p>
    <w:p>
      <w:pPr>
        <w:framePr w:w="1510" w:x="1798" w:y="416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26.</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生物资产</w:t>
      </w:r>
    </w:p>
    <w:p>
      <w:pPr>
        <w:framePr w:w="1817" w:x="1798" w:y="45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510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27.</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油气资产</w:t>
      </w:r>
    </w:p>
    <w:p>
      <w:pPr>
        <w:framePr w:w="1817" w:x="1798" w:y="54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6038"/>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28.</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使用权资产</w:t>
      </w:r>
    </w:p>
    <w:p>
      <w:pPr>
        <w:framePr w:w="1817" w:x="1798"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697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29.</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无形资产</w:t>
      </w:r>
    </w:p>
    <w:p>
      <w:pPr>
        <w:framePr w:w="3641" w:x="1798" w:y="7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w:t>
      </w:r>
      <w:r>
        <w:rPr>
          <w:rFonts w:ascii="SimSun" w:hAnsi="SimSun" w:eastAsiaTheme="minorEastAsia" w:cs="SimSun"/>
          <w:color w:val="000000"/>
          <w:spacing w:val="1"/>
          <w:sz w:val="21"/>
          <w:szCs w:val="22"/>
          <w:lang w:val="en-US" w:eastAsia="en-US" w:bidi="ar-SA"/>
        </w:rPr>
        <w:t>计价方法、使用寿命、减值测试</w:t>
      </w:r>
    </w:p>
    <w:p>
      <w:pPr>
        <w:framePr w:w="3641" w:x="1798" w:y="732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84" w:x="1798" w:y="80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无形资产是指本公司拥有或者控制的没有实物形态的可辨认非货币性资产，包括土地使用权、</w:t>
      </w:r>
    </w:p>
    <w:p>
      <w:pPr>
        <w:framePr w:w="9184" w:x="1798" w:y="80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技术使用权、软件使用权等。</w:t>
      </w:r>
    </w:p>
    <w:p>
      <w:pPr>
        <w:framePr w:w="2352" w:x="2220" w:y="8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无形资产的初始计量</w:t>
      </w:r>
    </w:p>
    <w:p>
      <w:pPr>
        <w:framePr w:w="9110" w:x="1798" w:y="92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外购无形资产的成本，包括购买价款、相关税费以及直接归属于使该项资产达到预定用途所</w:t>
      </w:r>
    </w:p>
    <w:p>
      <w:pPr>
        <w:framePr w:w="9110" w:x="1798" w:y="92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发生的其他支出。购买无形资产的价款超过正常信用条件延期支付，实质上具有融资性质的，无</w:t>
      </w:r>
    </w:p>
    <w:p>
      <w:pPr>
        <w:framePr w:w="9110" w:x="1798" w:y="92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形资产的成本以购买价款的现值为基础确定。</w:t>
      </w:r>
    </w:p>
    <w:p>
      <w:pPr>
        <w:framePr w:w="9287" w:x="1798" w:y="1052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债务重组取得债务人用以抵债的无形资产，以该无形资产的公允价值为基础确定其入账价值，</w:t>
      </w:r>
    </w:p>
    <w:p>
      <w:pPr>
        <w:framePr w:w="9287" w:x="1798" w:y="105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并将重组债务的账面价值与该用以抵债的无形资产公允价值之间的差额，计入当期损益。</w:t>
      </w:r>
    </w:p>
    <w:p>
      <w:pPr>
        <w:framePr w:w="9287" w:x="1798" w:y="10520"/>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在非货币性资产交换具备商业实质且换入资产或换出资产的公允价值能够可靠计量的前提下，</w:t>
      </w:r>
    </w:p>
    <w:p>
      <w:pPr>
        <w:framePr w:w="9287" w:x="1798" w:y="105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非货币性资产交换换入的无形资产以换出资产的公允价值为基础确定其入账价值，除非有确凿证</w:t>
      </w:r>
    </w:p>
    <w:p>
      <w:pPr>
        <w:framePr w:w="9287" w:x="1798" w:y="105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据表明换入资产的公允价值更加可靠；不满足上述前提的非货币性资产交换，以换出资产的账面</w:t>
      </w:r>
    </w:p>
    <w:p>
      <w:pPr>
        <w:framePr w:w="9287" w:x="1798" w:y="105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价值和应支付的相关税费作为换入无形资产的成本，不确认损益。</w:t>
      </w:r>
    </w:p>
    <w:p>
      <w:pPr>
        <w:framePr w:w="9110" w:x="1798" w:y="1297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以同一控制下的企业吸收合并方式取得的无形资产按被合并方的账面价值确定其入账价值；</w:t>
      </w:r>
    </w:p>
    <w:p>
      <w:pPr>
        <w:framePr w:w="9110" w:x="1798" w:y="1297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以非同一控制下的企业吸收合并方式取得的无形资产按公允价值确定其入账价值。</w:t>
      </w:r>
    </w:p>
    <w:p>
      <w:pPr>
        <w:framePr w:w="9110" w:x="1798" w:y="12971"/>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内部自行开发的无形资产，其成本包括：开发该无形资产时耗用的材料、劳务成本、注册费、</w:t>
      </w:r>
    </w:p>
    <w:p>
      <w:pPr>
        <w:framePr w:w="9110" w:x="1798" w:y="1297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在开发过程中使用的其他专利权和特许权的摊销以及满足资本化条件的利息费用，以及为使该无</w:t>
      </w:r>
    </w:p>
    <w:p>
      <w:pPr>
        <w:framePr w:w="9110" w:x="1798" w:y="1297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形资产达到预定用途前所发生的其他直接费用。</w:t>
      </w:r>
    </w:p>
    <w:p>
      <w:pPr>
        <w:framePr w:w="2352" w:x="2220" w:y="15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无形资产的后续计量</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0" type="#_x0000_t75" style="width:445.6pt;height:2.7pt;margin-top:53.65pt;margin-left:87.45pt;mso-position-horizontal-relative:page;mso-position-vertical-relative:page;position:absolute;z-index:-25158451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73" w:name="br1_72"/>
      <w:bookmarkEnd w:id="7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8688"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本公司在取得无形资产时分析判断其使用寿命，划分为使用寿命有限和使用寿命不确定的无</w:t>
      </w:r>
    </w:p>
    <w:p>
      <w:pPr>
        <w:framePr w:w="1085"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w:t>
      </w:r>
    </w:p>
    <w:p>
      <w:pPr>
        <w:framePr w:w="3091"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）使用寿命有限的无形资产</w:t>
      </w:r>
    </w:p>
    <w:p>
      <w:pPr>
        <w:framePr w:w="9069"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对于使用寿命有限的无形资产，在为企业带来经济利益的期限内按直线法摊销。使用寿命有</w:t>
      </w:r>
    </w:p>
    <w:p>
      <w:pPr>
        <w:framePr w:w="9069"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限的无形资产预计寿命及依据如下：</w:t>
      </w:r>
    </w:p>
    <w:p>
      <w:pPr>
        <w:framePr w:w="662" w:x="3147" w:y="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5384" w:y="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预计使用寿命</w:t>
      </w:r>
    </w:p>
    <w:p>
      <w:pPr>
        <w:framePr w:w="1507" w:x="5384" w:y="3609"/>
        <w:widowControl w:val="0"/>
        <w:autoSpaceDE w:val="0"/>
        <w:autoSpaceDN w:val="0"/>
        <w:spacing w:before="206" w:line="211" w:lineRule="exact"/>
        <w:ind w:left="39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w:t>
      </w:r>
      <w:r>
        <w:rPr>
          <w:rFonts w:ascii="SimSun" w:hAnsi="SimSun" w:eastAsiaTheme="minorEastAsia" w:cs="SimSun"/>
          <w:color w:val="000000"/>
          <w:sz w:val="21"/>
          <w:szCs w:val="22"/>
          <w:lang w:val="en-US" w:eastAsia="en-US" w:bidi="ar-SA"/>
        </w:rPr>
        <w:t>年</w:t>
      </w:r>
    </w:p>
    <w:p>
      <w:pPr>
        <w:framePr w:w="662" w:x="8610" w:y="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依据</w:t>
      </w:r>
    </w:p>
    <w:p>
      <w:pPr>
        <w:framePr w:w="1296" w:x="2830" w:y="4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土地使用权</w:t>
      </w:r>
    </w:p>
    <w:p>
      <w:pPr>
        <w:framePr w:w="1296" w:x="2830" w:y="4027"/>
        <w:widowControl w:val="0"/>
        <w:autoSpaceDE w:val="0"/>
        <w:autoSpaceDN w:val="0"/>
        <w:spacing w:before="20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技术使用权</w:t>
      </w:r>
    </w:p>
    <w:p>
      <w:pPr>
        <w:framePr w:w="1296" w:x="2830" w:y="4027"/>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软件使用权</w:t>
      </w:r>
    </w:p>
    <w:p>
      <w:pPr>
        <w:framePr w:w="2774" w:x="7559" w:y="40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土地使用权证规定使用年限</w:t>
      </w:r>
    </w:p>
    <w:p>
      <w:pPr>
        <w:framePr w:w="2774" w:x="7559" w:y="4027"/>
        <w:widowControl w:val="0"/>
        <w:autoSpaceDE w:val="0"/>
        <w:autoSpaceDN w:val="0"/>
        <w:spacing w:before="209"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合同约定、预计使用年限</w:t>
      </w:r>
    </w:p>
    <w:p>
      <w:pPr>
        <w:framePr w:w="2774" w:x="7559" w:y="4027"/>
        <w:widowControl w:val="0"/>
        <w:autoSpaceDE w:val="0"/>
        <w:autoSpaceDN w:val="0"/>
        <w:spacing w:before="206"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预计使用年限</w:t>
      </w:r>
    </w:p>
    <w:p>
      <w:pPr>
        <w:framePr w:w="924" w:x="5672" w:y="44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5-15</w:t>
      </w:r>
      <w:r>
        <w:rPr>
          <w:rFonts w:ascii="SimSun" w:hAnsi="SimSun" w:eastAsiaTheme="minorEastAsia" w:cs="SimSun"/>
          <w:color w:val="000000"/>
          <w:sz w:val="21"/>
          <w:szCs w:val="22"/>
          <w:lang w:val="en-US" w:eastAsia="en-US" w:bidi="ar-SA"/>
        </w:rPr>
        <w:t>年</w:t>
      </w:r>
    </w:p>
    <w:p>
      <w:pPr>
        <w:framePr w:w="924" w:x="5672" w:y="4447"/>
        <w:widowControl w:val="0"/>
        <w:autoSpaceDE w:val="0"/>
        <w:autoSpaceDN w:val="0"/>
        <w:spacing w:before="206" w:line="211" w:lineRule="exact"/>
        <w:ind w:left="158"/>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w:t>
      </w:r>
    </w:p>
    <w:p>
      <w:pPr>
        <w:framePr w:w="9068" w:x="1798" w:y="53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每期末，对使用寿命有限的无形资产的使用寿命及摊销方法进行复核，如与原先估计数存在</w:t>
      </w:r>
    </w:p>
    <w:p>
      <w:pPr>
        <w:framePr w:w="9068" w:x="1798" w:y="53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差异的，进行相应的调整。</w:t>
      </w:r>
    </w:p>
    <w:p>
      <w:pPr>
        <w:framePr w:w="6998" w:x="2218" w:y="61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经复核，本期期末无形资产的使用寿命及摊销方法与以前估计未有不同。</w:t>
      </w:r>
    </w:p>
    <w:p>
      <w:pPr>
        <w:framePr w:w="6998" w:x="2218" w:y="61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）使用寿命不确定的无形资产</w:t>
      </w:r>
    </w:p>
    <w:p>
      <w:pPr>
        <w:framePr w:w="7843" w:x="2218" w:y="69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无法预见无形资产为企业带来经济利益期限的，视为使用寿命不确定的无形资产。</w:t>
      </w:r>
    </w:p>
    <w:p>
      <w:pPr>
        <w:framePr w:w="7843" w:x="2218" w:y="69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本公司无使用寿命不确定的无形资产。</w:t>
      </w:r>
    </w:p>
    <w:p>
      <w:pPr>
        <w:framePr w:w="3218" w:x="1798" w:y="78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w:t>
      </w:r>
      <w:r>
        <w:rPr>
          <w:rFonts w:ascii="SimSun" w:hAnsi="SimSun" w:eastAsiaTheme="minorEastAsia" w:cs="SimSun"/>
          <w:color w:val="000000"/>
          <w:spacing w:val="1"/>
          <w:sz w:val="21"/>
          <w:szCs w:val="22"/>
          <w:lang w:val="en-US" w:eastAsia="en-US" w:bidi="ar-SA"/>
        </w:rPr>
        <w:t>内部研究开发支出会计政策</w:t>
      </w:r>
    </w:p>
    <w:p>
      <w:pPr>
        <w:framePr w:w="1817" w:x="1798" w:y="81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8" w:x="2218" w:y="84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研究阶段：为获取并理解新的科学或技术知识等而进行的独创性的有计划调查、研究活动的</w:t>
      </w:r>
    </w:p>
    <w:p>
      <w:pPr>
        <w:framePr w:w="874" w:x="1798" w:y="88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阶段。</w:t>
      </w:r>
    </w:p>
    <w:p>
      <w:pPr>
        <w:framePr w:w="9068" w:x="1798" w:y="923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开发阶段：在进行商业性生产或使用前，将研究成果或其他知识应用于某项计划或设计，以</w:t>
      </w:r>
    </w:p>
    <w:p>
      <w:pPr>
        <w:framePr w:w="9068" w:x="1798" w:y="923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生产出新的或具有实质性改进的材料、装置、产品等活动的阶段。</w:t>
      </w:r>
    </w:p>
    <w:p>
      <w:pPr>
        <w:framePr w:w="9068" w:x="1798" w:y="923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内部研究开发项目研究阶段的支出，在发生时计入当期损益。</w:t>
      </w:r>
    </w:p>
    <w:p>
      <w:pPr>
        <w:framePr w:w="9068" w:x="1798" w:y="923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内部研究开发项目开发阶段的支出，同时满足下列条件时确认为无形资产：</w:t>
      </w:r>
    </w:p>
    <w:p>
      <w:pPr>
        <w:framePr w:w="9068" w:x="1798" w:y="923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）完成该无形资产以使其能够使用或出售在技术上具有可行性；</w:t>
      </w:r>
    </w:p>
    <w:p>
      <w:pPr>
        <w:framePr w:w="9068" w:x="1798" w:y="9238"/>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）具有完成该无形资产并使用或出售的意图；</w:t>
      </w:r>
    </w:p>
    <w:p>
      <w:pPr>
        <w:framePr w:w="9078" w:x="1798" w:y="1168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）无形资产产生经济利益的方式，包括能够证明运用该无形资产生产的产品存在市场或无</w:t>
      </w:r>
    </w:p>
    <w:p>
      <w:pPr>
        <w:framePr w:w="9078" w:x="1798" w:y="116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形资产自身存在市场，无形资产将在内部使用的，能够证明其有用性；</w:t>
      </w:r>
    </w:p>
    <w:p>
      <w:pPr>
        <w:framePr w:w="9078" w:x="1798" w:y="1168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）有足够的技术、财务资源和其他资源支持，以完成该无形资产的开发，并有能力使用或</w:t>
      </w:r>
    </w:p>
    <w:p>
      <w:pPr>
        <w:framePr w:w="9078" w:x="1798" w:y="116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出售该无形资产；</w:t>
      </w:r>
    </w:p>
    <w:p>
      <w:pPr>
        <w:framePr w:w="5626" w:x="2218" w:y="133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）归属于该无形资产开发阶段的支出能够可靠地计量。</w:t>
      </w:r>
    </w:p>
    <w:p>
      <w:pPr>
        <w:framePr w:w="9110" w:x="1798" w:y="137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不满足上述条件的开发阶段的支出，于发生时计入当期损益。以前期间已计入损益的开发支</w:t>
      </w:r>
    </w:p>
    <w:p>
      <w:pPr>
        <w:framePr w:w="9110" w:x="1798" w:y="137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出不在以后期间重新确认为资产。已资本化的开发阶段的支出在资产负债表上列示为开发支出，</w:t>
      </w:r>
    </w:p>
    <w:p>
      <w:pPr>
        <w:framePr w:w="9110" w:x="1798" w:y="137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自该项目达到预定用途之日起转为无形资产。</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1" type="#_x0000_t75" style="width:445.6pt;height:2.7pt;margin-top:53.65pt;margin-left:87.45pt;mso-position-horizontal-relative:page;mso-position-vertical-relative:page;position:absolute;z-index:-251465728">
            <v:imagedata r:id="rId107" o:title=""/>
          </v:shape>
        </w:pict>
      </w:r>
      <w:r>
        <w:rPr>
          <w:noProof/>
        </w:rPr>
        <w:pict>
          <v:shape id="_x0000_s1162" type="#_x0000_t75" style="width:423.75pt;height:88.3pt;margin-top:176.4pt;margin-left:88.2pt;mso-position-horizontal-relative:page;mso-position-vertical-relative:page;position:absolute;z-index:-251583488">
            <v:imagedata r:id="rId108" o:title=""/>
          </v:shape>
        </w:pict>
      </w:r>
    </w:p>
    <w:p>
      <w:pPr>
        <w:spacing w:line="0" w:lineRule="atLeast"/>
        <w:rPr>
          <w:rFonts w:ascii="Arial" w:eastAsiaTheme="minorEastAsia" w:hAnsiTheme="minorHAnsi" w:cstheme="minorBidi"/>
          <w:color w:val="FF0000"/>
          <w:sz w:val="2"/>
          <w:szCs w:val="22"/>
          <w:lang w:val="en-US" w:eastAsia="en-US" w:bidi="ar-SA"/>
        </w:rPr>
      </w:pPr>
      <w:bookmarkStart w:id="74" w:name="br1_73"/>
      <w:bookmarkEnd w:id="7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932" w:x="1798" w:y="151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30.</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长期资产减值</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227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本公司在资产负债表日判断长期资产是否存在可能发生减值的迹象。如果长期资产存在减值</w:t>
      </w:r>
    </w:p>
    <w:p>
      <w:pPr>
        <w:framePr w:w="9110" w:x="1798" w:y="22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迹象的，以单项资产为基础估计其可收回金额；难以对单项资产的可收回金额进行估计的，以该</w:t>
      </w:r>
    </w:p>
    <w:p>
      <w:pPr>
        <w:framePr w:w="9110" w:x="1798" w:y="227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资产所属的资产组为基础确定资产组的可收回金额。</w:t>
      </w:r>
    </w:p>
    <w:p>
      <w:pPr>
        <w:framePr w:w="9068" w:x="1798" w:y="350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资产可收回金额的估计，根据其公允价值减去处置费用后的净额与资产预计未来现金流量的</w:t>
      </w:r>
    </w:p>
    <w:p>
      <w:pPr>
        <w:framePr w:w="9068" w:x="1798" w:y="350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现值两者之间较高者确定。</w:t>
      </w:r>
    </w:p>
    <w:p>
      <w:pPr>
        <w:framePr w:w="9110" w:x="1798" w:y="432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可收回金额的计量结果表明，长期资产的可收回金额低于其账面价值的，将长期资产的账面</w:t>
      </w:r>
    </w:p>
    <w:p>
      <w:pPr>
        <w:framePr w:w="9110" w:x="1798" w:y="432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价值减记至可收回金额，减记的金额确认为资产减值损失，计入当期损益，同时计提相应的资产</w:t>
      </w:r>
    </w:p>
    <w:p>
      <w:pPr>
        <w:framePr w:w="9110" w:x="1798" w:y="4320"/>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减值准备。资产减值损失一经确认，在以后会计期间不得转回。</w:t>
      </w:r>
    </w:p>
    <w:p>
      <w:pPr>
        <w:framePr w:w="9068" w:x="1798" w:y="554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资产减值损失确认后，减值资产的折旧或者摊销费用在未来期间作相应调整，以使该资产在</w:t>
      </w:r>
    </w:p>
    <w:p>
      <w:pPr>
        <w:framePr w:w="9068" w:x="1798" w:y="55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剩余使用寿命内，系统地分摊调整后的资产账面价值（扣除预计净残值）。</w:t>
      </w:r>
    </w:p>
    <w:p>
      <w:pPr>
        <w:framePr w:w="9068" w:x="1798" w:y="554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因企业合并所形成的商誉和使用寿命不确定的无形资产，无论是否存在减值迹象，每年都进</w:t>
      </w:r>
    </w:p>
    <w:p>
      <w:pPr>
        <w:framePr w:w="9068" w:x="1798" w:y="554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行减值测试。</w:t>
      </w:r>
    </w:p>
    <w:p>
      <w:pPr>
        <w:framePr w:w="9110" w:x="1798" w:y="718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在对商誉进行减值测试时，将商誉的账面价值分摊至预期从企业合并的协同效应中受益的资</w:t>
      </w:r>
    </w:p>
    <w:p>
      <w:pPr>
        <w:framePr w:w="9110" w:x="1798" w:y="71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产组或资产组组合。在对包含商誉的相关资产组或者资产组组合进行减值测试时，如与商誉相关</w:t>
      </w:r>
    </w:p>
    <w:p>
      <w:pPr>
        <w:framePr w:w="9110" w:x="1798" w:y="71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的资产组或者资产组组合存在减值迹象的，先对不包含商誉的资产组或者资产组组合进行减值测</w:t>
      </w:r>
    </w:p>
    <w:p>
      <w:pPr>
        <w:framePr w:w="9110" w:x="1798" w:y="71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试，计算可收回金额，并与相关账面价值相比较，确认相应的减值损失。再对包含商誉的资产组</w:t>
      </w:r>
    </w:p>
    <w:p>
      <w:pPr>
        <w:framePr w:w="9110" w:x="1798" w:y="7181"/>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或者资产组组合进行减值测试，比较这些相关资产组或者资产组组合的账面价值（包括所分摊的</w:t>
      </w:r>
    </w:p>
    <w:p>
      <w:pPr>
        <w:framePr w:w="9110" w:x="1798" w:y="71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商誉的账面价值部分）与其可收回金额，如相关资产组或者资产组组合的可收回金额低于其账面</w:t>
      </w:r>
    </w:p>
    <w:p>
      <w:pPr>
        <w:framePr w:w="9110" w:x="1798" w:y="718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价值的，确认商誉的减值损失。</w:t>
      </w:r>
    </w:p>
    <w:p>
      <w:pPr>
        <w:framePr w:w="1932" w:x="1798" w:y="1008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31.</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长期待摊费用</w:t>
      </w:r>
    </w:p>
    <w:p>
      <w:pPr>
        <w:framePr w:w="1817" w:x="1798" w:y="104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2218" w:y="10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摊销方法</w:t>
      </w:r>
    </w:p>
    <w:p>
      <w:pPr>
        <w:framePr w:w="9069" w:x="1798" w:y="112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长期待摊费用，是指本公司已经发生但应由本期和以后各期负担的分摊期限在</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年以上的各</w:t>
      </w:r>
    </w:p>
    <w:p>
      <w:pPr>
        <w:framePr w:w="9069" w:x="1798" w:y="112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项费用。长期待摊费用在受益期内按直线法分期摊销。</w:t>
      </w:r>
    </w:p>
    <w:p>
      <w:pPr>
        <w:framePr w:w="9069" w:x="1798" w:y="11249"/>
        <w:widowControl w:val="0"/>
        <w:autoSpaceDE w:val="0"/>
        <w:autoSpaceDN w:val="0"/>
        <w:spacing w:before="200"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摊销年限</w:t>
      </w:r>
    </w:p>
    <w:p>
      <w:pPr>
        <w:framePr w:w="662" w:x="3195" w:y="12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6027" w:y="12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摊销年限</w:t>
      </w:r>
    </w:p>
    <w:p>
      <w:pPr>
        <w:framePr w:w="662" w:x="9050" w:y="12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p>
      <w:pPr>
        <w:framePr w:w="1296" w:x="2878" w:y="12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房屋装修费</w:t>
      </w:r>
    </w:p>
    <w:p>
      <w:pPr>
        <w:framePr w:w="610" w:x="6265" w:y="12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w:t>
      </w:r>
    </w:p>
    <w:p>
      <w:pPr>
        <w:framePr w:w="1507" w:x="8629" w:y="12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预计使用年限</w:t>
      </w:r>
    </w:p>
    <w:p>
      <w:pPr>
        <w:framePr w:w="1510" w:x="1798" w:y="1365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32.</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合同负债</w:t>
      </w:r>
    </w:p>
    <w:p>
      <w:pPr>
        <w:framePr w:w="2141" w:x="1798" w:y="140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合同负债的确认方法</w:t>
      </w:r>
    </w:p>
    <w:p>
      <w:pPr>
        <w:framePr w:w="2141" w:x="1798" w:y="14005"/>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3" type="#_x0000_t75" style="width:445.6pt;height:2.7pt;margin-top:53.65pt;margin-left:87.45pt;mso-position-horizontal-relative:page;mso-position-vertical-relative:page;position:absolute;z-index:-251464704">
            <v:imagedata r:id="rId109" o:title=""/>
          </v:shape>
        </w:pict>
      </w:r>
      <w:r>
        <w:rPr>
          <w:noProof/>
        </w:rPr>
        <w:pict>
          <v:shape id="_x0000_s1164" type="#_x0000_t75" style="width:423.75pt;height:45.2pt;margin-top:621.35pt;margin-left:98.5pt;mso-position-horizontal-relative:page;mso-position-vertical-relative:page;position:absolute;z-index:-251582464">
            <v:imagedata r:id="rId110" o:title=""/>
          </v:shape>
        </w:pict>
      </w:r>
    </w:p>
    <w:p>
      <w:pPr>
        <w:spacing w:line="0" w:lineRule="atLeast"/>
        <w:rPr>
          <w:rFonts w:ascii="Arial" w:eastAsiaTheme="minorEastAsia" w:hAnsiTheme="minorHAnsi" w:cstheme="minorBidi"/>
          <w:color w:val="FF0000"/>
          <w:sz w:val="2"/>
          <w:szCs w:val="22"/>
          <w:lang w:val="en-US" w:eastAsia="en-US" w:bidi="ar-SA"/>
        </w:rPr>
      </w:pPr>
      <w:bookmarkStart w:id="75" w:name="br1_74"/>
      <w:bookmarkEnd w:id="7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合同负债是指已收或应收客户对价而应向客户转让商品或服务的义务。如果在本公司向客户</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转让商品之前，客户已经支付了合同对价或本公司已经取得了无条件收款权，本公司在客户实际</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支付款项和到期应支付款项孰早时点，将该已收或应收款项列示为合同负债。</w:t>
      </w:r>
    </w:p>
    <w:p>
      <w:pPr>
        <w:framePr w:w="1510" w:x="1798" w:y="280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33.</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职工薪酬</w:t>
      </w:r>
    </w:p>
    <w:p>
      <w:pPr>
        <w:framePr w:w="3091" w:x="1798"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、短期薪酬的会计处理方法</w:t>
      </w:r>
    </w:p>
    <w:p>
      <w:pPr>
        <w:framePr w:w="3091" w:x="1798" w:y="3156"/>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389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短期薪酬是指本公司在职工提供相关服务的年度报告期间结束后十二个月内需要全部予以支</w:t>
      </w:r>
    </w:p>
    <w:p>
      <w:pPr>
        <w:framePr w:w="9110" w:x="1798" w:y="389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付的职工薪酬，离职后福利和辞退福利除外。本公司在职工提供服务的会计期间，将应付的短期</w:t>
      </w:r>
    </w:p>
    <w:p>
      <w:pPr>
        <w:framePr w:w="9110" w:x="1798" w:y="389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薪酬确认为负债，并根据职工提供服务的受益对象计入相关资产成本和费用。</w:t>
      </w:r>
    </w:p>
    <w:p>
      <w:pPr>
        <w:framePr w:w="3302" w:x="1798" w:y="5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、离职后福利的会计处理方法</w:t>
      </w:r>
    </w:p>
    <w:p>
      <w:pPr>
        <w:framePr w:w="1817" w:x="1798" w:y="5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68" w:x="1798" w:y="59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离职后福利是指本公司为获得职工提供的服务而在职工退休或与企业解除劳动关系后，提供</w:t>
      </w:r>
    </w:p>
    <w:p>
      <w:pPr>
        <w:framePr w:w="9068" w:x="1798" w:y="59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的各种形式的报酬和福利，短期薪酬和辞退福利除外。</w:t>
      </w:r>
    </w:p>
    <w:p>
      <w:pPr>
        <w:framePr w:w="4675" w:x="2218" w:y="6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本公司的离职后福利计划分类为设定提存计划。</w:t>
      </w:r>
    </w:p>
    <w:p>
      <w:pPr>
        <w:framePr w:w="9110" w:x="1798" w:y="71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离职后福利设定提存计划主要为参加由各地劳动及社会保障机构组织实施的社会基本养老保</w:t>
      </w:r>
    </w:p>
    <w:p>
      <w:pPr>
        <w:framePr w:w="9110" w:x="1798" w:y="71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险、失业保险等；在职工为本公司提供服务的会计期间，将根据设定提存计划计算的应缴存金额</w:t>
      </w:r>
    </w:p>
    <w:p>
      <w:pPr>
        <w:framePr w:w="9110" w:x="1798" w:y="714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确认为负债，并计入当期损益或相关资产成本。</w:t>
      </w:r>
    </w:p>
    <w:p>
      <w:pPr>
        <w:framePr w:w="7210" w:x="2218" w:y="83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本公司按照国家规定的标准定期缴付上述款项后，不再有其他的支付义务。</w:t>
      </w:r>
    </w:p>
    <w:p>
      <w:pPr>
        <w:framePr w:w="3091" w:x="1798" w:y="8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、辞退福利的会计处理方法</w:t>
      </w:r>
    </w:p>
    <w:p>
      <w:pPr>
        <w:framePr w:w="1817" w:x="1798" w:y="91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958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辞退福利是指本公司在职工劳动合同到期之前解除与职工的劳动关系，或者为鼓励职工自愿</w:t>
      </w:r>
    </w:p>
    <w:p>
      <w:pPr>
        <w:framePr w:w="9110" w:x="1798" w:y="95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接受裁减而给予职工的补偿，在本公司不能单方面撤回解除劳动关系计划或裁减建议时和确认与</w:t>
      </w:r>
    </w:p>
    <w:p>
      <w:pPr>
        <w:framePr w:w="9110" w:x="1798" w:y="95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涉及支付辞退福利的重组相关的成本费用时两者孰早日，确认因解除与职工的劳动关系给予补偿</w:t>
      </w:r>
    </w:p>
    <w:p>
      <w:pPr>
        <w:framePr w:w="9110" w:x="1798" w:y="95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而产生的负债，同时计入当期损益。</w:t>
      </w:r>
    </w:p>
    <w:p>
      <w:pPr>
        <w:framePr w:w="9322" w:x="1798" w:y="1121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本公司向接受内部退休安排的职工提供内退福利。内退福利是指，向未达到国家规定的退休</w:t>
      </w:r>
    </w:p>
    <w:p>
      <w:pPr>
        <w:framePr w:w="9322" w:x="1798" w:y="112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年龄、经本公司管理层批准自愿退出工作岗位的职工支付的工资及为其缴纳的社会保险费等。本</w:t>
      </w:r>
    </w:p>
    <w:p>
      <w:pPr>
        <w:framePr w:w="9322" w:x="1798" w:y="112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公司自内部退休安排开始之日起至职工达到正常退休年龄止，向内退职工支付内部退养福利。对</w:t>
      </w:r>
    </w:p>
    <w:p>
      <w:pPr>
        <w:framePr w:w="9322" w:x="1798" w:y="112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于内退福利，本公司比照辞退福利进行会计处理，在符合辞退福利相关确认条件时，将自职工停</w:t>
      </w:r>
    </w:p>
    <w:p>
      <w:pPr>
        <w:framePr w:w="9322" w:x="1798" w:y="1121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止提供服务日至正常退休日期间拟支付的内退职工工资和缴纳的社会保险费等，确认为负债，一</w:t>
      </w:r>
    </w:p>
    <w:p>
      <w:pPr>
        <w:framePr w:w="9322" w:x="1798" w:y="1121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次性计入当期损益。内退福利的精算假设变化及福利标准调整引起的差异于发生时计入当期损益。</w:t>
      </w:r>
    </w:p>
    <w:p>
      <w:pPr>
        <w:framePr w:w="3936" w:x="1798" w:y="137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、其他长期职工福利的会计处理方法</w:t>
      </w:r>
    </w:p>
    <w:p>
      <w:pPr>
        <w:framePr w:w="1817" w:x="1798" w:y="14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266" w:x="2218" w:y="143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其他长期职工福利是指除短期薪酬、离职后福利、辞退福利之外的其他所有职工福利。</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5" type="#_x0000_t75" style="width:445.6pt;height:2.7pt;margin-top:53.65pt;margin-left:87.45pt;mso-position-horizontal-relative:page;mso-position-vertical-relative:page;position:absolute;z-index:-25158144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76" w:name="br1_75"/>
      <w:bookmarkEnd w:id="7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对符合设定提存计划条件的其他长期职工福利，在职工为本公司提供服务的会计期间，将应</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缴存金额确认为负债，并计入当期损益或相关资产成本；除上述情形外的其他长期职工福利，在</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资产负债表日将使用预期累计福利单位法进行精算，将设定受益计划产生的福利义务归属于职工</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提供服务的期间，并计入当期损益或相关资产成本。</w:t>
      </w:r>
    </w:p>
    <w:p>
      <w:pPr>
        <w:framePr w:w="1510" w:x="1798" w:y="321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34.</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租赁负债</w:t>
      </w:r>
    </w:p>
    <w:p>
      <w:pPr>
        <w:framePr w:w="1817" w:x="1798" w:y="35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414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35.</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预计负债</w:t>
      </w:r>
    </w:p>
    <w:p>
      <w:pPr>
        <w:framePr w:w="1817" w:x="1798" w:y="4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2218" w:y="4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．预计负债的确认标准</w:t>
      </w:r>
    </w:p>
    <w:p>
      <w:pPr>
        <w:framePr w:w="6787" w:x="2218" w:y="53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与或有事项相关的义务同时满足下列条件时，本公司确认为预计负债：</w:t>
      </w:r>
    </w:p>
    <w:p>
      <w:pPr>
        <w:framePr w:w="6787" w:x="2218" w:y="53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该义务是本公司承担的现时义务；</w:t>
      </w:r>
    </w:p>
    <w:p>
      <w:pPr>
        <w:framePr w:w="4464" w:x="2218" w:y="61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履行该义务很可能导致经济利益流出本公司；</w:t>
      </w:r>
    </w:p>
    <w:p>
      <w:pPr>
        <w:framePr w:w="3197" w:x="2218" w:y="6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该义务的金额能够可靠地计量。</w:t>
      </w:r>
    </w:p>
    <w:p>
      <w:pPr>
        <w:framePr w:w="2458" w:x="2220" w:y="69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．预计负债的计量方法</w:t>
      </w:r>
    </w:p>
    <w:p>
      <w:pPr>
        <w:framePr w:w="9068" w:x="1798" w:y="736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本公司预计负债按履行相关现时义务所需的支出的最佳估计数进行初始计量。</w:t>
      </w:r>
    </w:p>
    <w:p>
      <w:pPr>
        <w:framePr w:w="9068" w:x="1798" w:y="7361"/>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本公司在确定最佳估计数时，综合考虑与或有事项有关的风险、不确定性和货币时间价值等</w:t>
      </w:r>
    </w:p>
    <w:p>
      <w:pPr>
        <w:framePr w:w="9068" w:x="1798" w:y="736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因素。对于货币时间价值影响重大的，通过对相关未来现金流出进行折现后确定最佳估计数。</w:t>
      </w:r>
    </w:p>
    <w:p>
      <w:pPr>
        <w:framePr w:w="9068" w:x="1798" w:y="7361"/>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最佳估计数分别以下情况处理：</w:t>
      </w:r>
    </w:p>
    <w:p>
      <w:pPr>
        <w:framePr w:w="9068" w:x="1798" w:y="89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所需支出存在一个连续范围（或区间），且该范围内各种结果发生的可能性相同的，则最佳</w:t>
      </w:r>
    </w:p>
    <w:p>
      <w:pPr>
        <w:framePr w:w="9068" w:x="1798" w:y="89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估计数按照该范围的中间值即上下限金额的平均数确定。</w:t>
      </w:r>
    </w:p>
    <w:p>
      <w:pPr>
        <w:framePr w:w="9110" w:x="1798" w:y="981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所需支出不存在一个连续范围（或区间），或虽然存在一个连续范围但该范围内各种结果发</w:t>
      </w:r>
    </w:p>
    <w:p>
      <w:pPr>
        <w:framePr w:w="9110" w:x="1798" w:y="98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生的可能性不相同的，如或有事项涉及单个项目的，则最佳估计数按照最可能发生金额确定；如</w:t>
      </w:r>
    </w:p>
    <w:p>
      <w:pPr>
        <w:framePr w:w="9110" w:x="1798" w:y="98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或有事项涉及多个项目的，则最佳估计数按各种可能结果及相关概率计算确定。</w:t>
      </w:r>
    </w:p>
    <w:p>
      <w:pPr>
        <w:framePr w:w="9110" w:x="1798" w:y="9812"/>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本公司清偿预计负债所需支出全部或部分预期由第三方补偿的，补偿金额在基本确定能够收</w:t>
      </w:r>
    </w:p>
    <w:p>
      <w:pPr>
        <w:framePr w:w="9110" w:x="1798" w:y="981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到时，作为资产单独确认，确认的补偿金额不超过预计负债的账面价值。</w:t>
      </w:r>
    </w:p>
    <w:p>
      <w:pPr>
        <w:framePr w:w="1510" w:x="1798" w:y="1189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36.</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w:t>
      </w:r>
    </w:p>
    <w:p>
      <w:pPr>
        <w:framePr w:w="1817" w:x="1798" w:y="122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7" w:x="1798" w:y="1283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37.</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优先股、永续债等其他金融工具</w:t>
      </w:r>
    </w:p>
    <w:p>
      <w:pPr>
        <w:framePr w:w="1817" w:x="1798" w:y="13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1377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38.</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收入</w:t>
      </w:r>
    </w:p>
    <w:p>
      <w:pPr>
        <w:framePr w:w="3830" w:x="1798" w:y="141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收入确认和计量所采用的会计政策</w:t>
      </w:r>
    </w:p>
    <w:p>
      <w:pPr>
        <w:framePr w:w="3830" w:x="1798" w:y="1412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6" type="#_x0000_t75" style="width:445.6pt;height:2.7pt;margin-top:53.65pt;margin-left:87.45pt;mso-position-horizontal-relative:page;mso-position-vertical-relative:page;position:absolute;z-index:-25158041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77" w:name="br1_76"/>
      <w:bookmarkEnd w:id="7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8688"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收入是本公司在日常活动中形成的、会导致股东权益增加且与股东投入资本无关的经济利益</w:t>
      </w:r>
    </w:p>
    <w:p>
      <w:pPr>
        <w:framePr w:w="1296"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的总流入。</w:t>
      </w:r>
    </w:p>
    <w:p>
      <w:pPr>
        <w:framePr w:w="9110"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本公司在履行了合同中的履约义务，即在客户取得相关商品控制权时确认收入。取得相关商</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品控制权，是指能够主导该商品的使用并从中获得几乎全部的经济利益。</w:t>
      </w:r>
    </w:p>
    <w:p>
      <w:pPr>
        <w:framePr w:w="9110" w:x="1798" w:y="235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合同中包含两项或多项履约义务的，本公司在合同开始日，按照各单项履约义务所承诺商品</w:t>
      </w:r>
    </w:p>
    <w:p>
      <w:pPr>
        <w:framePr w:w="9110"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或服务的单独售价的相对比例，将交易价格分摊至各单项履约义务，按照分摊至各单项履约义务</w:t>
      </w:r>
    </w:p>
    <w:p>
      <w:pPr>
        <w:framePr w:w="9110" w:x="1798" w:y="235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的交易价格计量收入。</w:t>
      </w:r>
    </w:p>
    <w:p>
      <w:pPr>
        <w:framePr w:w="9110" w:x="1798" w:y="4397"/>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交易价格是本公司因向客户转让商品或服务而预期有权收取的对价金额，不包括代第三方收</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取的款项。在确定合同交易价格时，如果存在可变对价，本公司按照期望值或最可能发生金额确</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定可变对价的最佳估计数，并以不超过在相关不确定性消除时累计已确认收入极可能不会发生重</w:t>
      </w:r>
    </w:p>
    <w:p>
      <w:pPr>
        <w:framePr w:w="9110" w:x="1798" w:y="439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大转回的金额计入交易价格。合同中如果存在重大融资成分，本公司将根据客户在取得商品控制</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权时即以现金支付的应付金额确定交易价格，该交易价格与合同对价之间的差额，在合同期间内</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采用实际利率法摊销，对于控制权转移与客户支付价款间隔未超过一年的，本公司不考虑其中的</w:t>
      </w:r>
    </w:p>
    <w:p>
      <w:pPr>
        <w:framePr w:w="9110" w:x="1798" w:y="439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融资成分。</w:t>
      </w:r>
    </w:p>
    <w:p>
      <w:pPr>
        <w:framePr w:w="9068" w:x="1798" w:y="72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满足下列条件之一的，属于在某一时段内履行履约义务；否则，属于在某一时点履行履约义</w:t>
      </w:r>
    </w:p>
    <w:p>
      <w:pPr>
        <w:framePr w:w="9068" w:x="1798" w:y="725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务：</w:t>
      </w:r>
    </w:p>
    <w:p>
      <w:pPr>
        <w:framePr w:w="7104" w:x="2218" w:y="80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、客户在本公司履约的同时即取得并消耗本公司履约所带来的经济利益；</w:t>
      </w:r>
    </w:p>
    <w:p>
      <w:pPr>
        <w:framePr w:w="7104" w:x="2218" w:y="807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、客户能够控制本公司履约过程中在建的商品；</w:t>
      </w:r>
    </w:p>
    <w:p>
      <w:pPr>
        <w:framePr w:w="9078" w:x="1798" w:y="88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、本公司履约过程中所产出的商品具有不可替代用途，且本公司在整个合同期间内有权就累</w:t>
      </w:r>
    </w:p>
    <w:p>
      <w:pPr>
        <w:framePr w:w="9078" w:x="1798" w:y="88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计至今已完成的履约部分收取款项。</w:t>
      </w:r>
    </w:p>
    <w:p>
      <w:pPr>
        <w:framePr w:w="9110" w:x="1798" w:y="970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对于在某一时段内履行的履约义务，本公司在该段时间内按照履约进度确认收入，但是，履</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约进度不能合理确定的除外。本公司按照投入法（或产出法）确定提供服务的履约进度。当履约</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进度不能合理确定时，本公司已经发生的成本预计能够得到补偿的，按照已经发生的成本金额确</w:t>
      </w:r>
    </w:p>
    <w:p>
      <w:pPr>
        <w:framePr w:w="9110" w:x="179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认收入，直到履约进度能够合理确定为止。</w:t>
      </w:r>
    </w:p>
    <w:p>
      <w:pPr>
        <w:framePr w:w="9068"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对于在某一时点履行的履约义务，本公司在客户取得相关商品控制权时点确认收入。在判断</w:t>
      </w:r>
    </w:p>
    <w:p>
      <w:pPr>
        <w:framePr w:w="9068"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客户是否已取得商品或服务控制权时，本公司会考虑下列迹象：</w:t>
      </w:r>
    </w:p>
    <w:p>
      <w:pPr>
        <w:framePr w:w="9078" w:x="1798" w:y="121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、本公司就该商品或服务享有现时收款权利，即客户就该商品负有现时付款义务；</w:t>
      </w:r>
    </w:p>
    <w:p>
      <w:pPr>
        <w:framePr w:w="9078" w:x="1798" w:y="1216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、本公司已将该商品的法定所有权转移给客户，即客户已拥有了该商品的法定所有权；</w:t>
      </w:r>
    </w:p>
    <w:p>
      <w:pPr>
        <w:framePr w:w="9078" w:x="1798" w:y="1216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、本公司已将该商品的实物转移给客户，即客户已实物占有该商品；</w:t>
      </w:r>
    </w:p>
    <w:p>
      <w:pPr>
        <w:framePr w:w="9078" w:x="1798" w:y="12160"/>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、本公司已将该商品所有权上的主要风险和报酬转移给客户，即客户已取得该商品所有权上</w:t>
      </w:r>
    </w:p>
    <w:p>
      <w:pPr>
        <w:framePr w:w="9078" w:x="179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的主要风险和报酬；</w:t>
      </w:r>
    </w:p>
    <w:p>
      <w:pPr>
        <w:framePr w:w="2458" w:x="2218" w:y="142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、客户已接受该商品。</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7" type="#_x0000_t75" style="width:445.6pt;height:2.7pt;margin-top:53.65pt;margin-left:87.45pt;mso-position-horizontal-relative:page;mso-position-vertical-relative:page;position:absolute;z-index:-25157939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78" w:name="br1_77"/>
      <w:bookmarkEnd w:id="7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78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同类业务采用不同经营模式导致收入确认会计政策存在差异的情况</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245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39.</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合同成本</w:t>
      </w:r>
    </w:p>
    <w:p>
      <w:pPr>
        <w:framePr w:w="1817" w:x="1798" w:y="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3391"/>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40.</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政府补助</w:t>
      </w:r>
    </w:p>
    <w:p>
      <w:pPr>
        <w:framePr w:w="1817" w:x="1798" w:y="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79" w:x="2218" w:y="4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．类型</w:t>
      </w:r>
    </w:p>
    <w:p>
      <w:pPr>
        <w:framePr w:w="9216" w:x="1798" w:y="45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政府补助，是本公司从政府无偿取得的货币性资产与非货币性资产。根据相关政府文件规定</w:t>
      </w:r>
    </w:p>
    <w:p>
      <w:pPr>
        <w:framePr w:w="9216" w:x="1798" w:y="45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的补助对象，将政府补助划分为与资产相关的政府补助和与收益相关的政府补助。</w:t>
      </w:r>
    </w:p>
    <w:p>
      <w:pPr>
        <w:framePr w:w="9216" w:x="1798" w:y="4560"/>
        <w:widowControl w:val="0"/>
        <w:autoSpaceDE w:val="0"/>
        <w:autoSpaceDN w:val="0"/>
        <w:spacing w:before="20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对于政府文件未明确补助对象的政府补助，公司根据实际补助对象划分为与资产相关的政府</w:t>
      </w:r>
    </w:p>
    <w:p>
      <w:pPr>
        <w:framePr w:w="9216" w:x="1798" w:y="45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补助或与收益相关的政府补助，相关判断依据说明详见本财务报表附注七之递延收益</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营业外收入</w:t>
      </w:r>
    </w:p>
    <w:p>
      <w:pPr>
        <w:framePr w:w="9216" w:x="1798" w:y="45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项目注释。</w:t>
      </w:r>
    </w:p>
    <w:p>
      <w:pPr>
        <w:framePr w:w="9068" w:x="1798" w:y="660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与资产相关的政府补助，是指本公司取得的、用于购建或以其他方式形成长期资产的政府补</w:t>
      </w:r>
    </w:p>
    <w:p>
      <w:pPr>
        <w:framePr w:w="9068" w:x="1798" w:y="660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助。与收益相关的政府补助，是指除与资产相关的政府补助之外的政府补助。</w:t>
      </w:r>
    </w:p>
    <w:p>
      <w:pPr>
        <w:framePr w:w="9068" w:x="1798" w:y="6603"/>
        <w:widowControl w:val="0"/>
        <w:autoSpaceDE w:val="0"/>
        <w:autoSpaceDN w:val="0"/>
        <w:spacing w:before="199"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．政府补助的确认</w:t>
      </w:r>
    </w:p>
    <w:p>
      <w:pPr>
        <w:framePr w:w="9068" w:x="1798" w:y="782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对期末有证据表明公司能够符合财政扶持政策规定的相关条件且预计能够收到财政扶持资金</w:t>
      </w:r>
    </w:p>
    <w:p>
      <w:pPr>
        <w:framePr w:w="9068" w:x="1798" w:y="78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的，按应收金额确认政府补助。除此之外，政府补助均在实际收到时确认。</w:t>
      </w:r>
    </w:p>
    <w:p>
      <w:pPr>
        <w:framePr w:w="9068" w:x="1798" w:y="782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政府补助为货币性资产的，按照收到或应收的金额计量。政府补助为非货币性资产的，按照</w:t>
      </w:r>
    </w:p>
    <w:p>
      <w:pPr>
        <w:framePr w:w="9068" w:x="1798" w:y="782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公允价值计量；公允价值不能够可靠取得的，按照名义金额（人民币</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元）计量。按照名义金额</w:t>
      </w:r>
    </w:p>
    <w:p>
      <w:pPr>
        <w:framePr w:w="9068" w:x="1798" w:y="782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计量的政府补助，直接计入当期损益。</w:t>
      </w:r>
    </w:p>
    <w:p>
      <w:pPr>
        <w:framePr w:w="1824" w:x="2220" w:y="98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．会计处理方法</w:t>
      </w:r>
    </w:p>
    <w:p>
      <w:pPr>
        <w:framePr w:w="9110" w:x="1798" w:y="1028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本公司根据经济业务的实质，确定某一类政府补助业务应当采用总额法还是净额法进行会计</w:t>
      </w:r>
    </w:p>
    <w:p>
      <w:pPr>
        <w:framePr w:w="9110" w:x="1798" w:y="1028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处理。通常情况下，本公司对于同类或类似政府补助业务只选用一种方法，且对该业务一贯地运</w:t>
      </w:r>
    </w:p>
    <w:p>
      <w:pPr>
        <w:framePr w:w="9110" w:x="1798" w:y="1028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用该方法。</w:t>
      </w:r>
    </w:p>
    <w:p>
      <w:pPr>
        <w:framePr w:w="9068" w:x="1798" w:y="1150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与资产相关的政府补助，确认为递延收益，按照所建造或购买的资产使用年限内按照合理、</w:t>
      </w:r>
    </w:p>
    <w:p>
      <w:pPr>
        <w:framePr w:w="9068" w:x="1798" w:y="1150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系统的方法分期计入损益；</w:t>
      </w:r>
    </w:p>
    <w:p>
      <w:pPr>
        <w:framePr w:w="9110" w:x="1798" w:y="123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与收益相关的政府补助，用于补偿企业以后期间的相关费用或损失的，确认为递延收益，在</w:t>
      </w:r>
    </w:p>
    <w:p>
      <w:pPr>
        <w:framePr w:w="9110" w:x="1798" w:y="123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确认相关费用或损失的期间计入当期损益；用于补偿企业已发生的相关费用或损失的，取得时直</w:t>
      </w:r>
    </w:p>
    <w:p>
      <w:pPr>
        <w:framePr w:w="9110" w:x="1798" w:y="1232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接计入当期损益。</w:t>
      </w:r>
    </w:p>
    <w:p>
      <w:pPr>
        <w:framePr w:w="9069" w:x="1798" w:y="135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与企业日常活动相关的政府补助计入其他收益；与企业日常活动无关的政府补助计入营业外</w:t>
      </w:r>
    </w:p>
    <w:p>
      <w:pPr>
        <w:framePr w:w="9069" w:x="1798" w:y="135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收支。</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79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8" type="#_x0000_t75" style="width:445.6pt;height:2.7pt;margin-top:53.65pt;margin-left:87.45pt;mso-position-horizontal-relative:page;mso-position-vertical-relative:page;position:absolute;z-index:-251578368">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79" w:name="br1_78"/>
      <w:bookmarkEnd w:id="7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收到与政策性优惠贷款贴息相关的政府补助冲减相关借款费用；取得贷款银行提供的政策性</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优惠利率贷款的，以实际收到的借款金额作为借款的入账价值，按照借款本金和该政策性优惠利</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率计算相关借款费用。</w:t>
      </w:r>
    </w:p>
    <w:p>
      <w:pPr>
        <w:framePr w:w="9110"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已确认的政府补助需要返还时，初始确认时冲减相关资产账面价值的，调整资产账面价值；</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存在相关递延收益余额的，冲减相关递延收益账面余额，超出部分计入当期损益；不存在相关递</w:t>
      </w:r>
    </w:p>
    <w:p>
      <w:pPr>
        <w:framePr w:w="9110"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延收益的，直接计入当期损益。</w:t>
      </w:r>
    </w:p>
    <w:p>
      <w:pPr>
        <w:framePr w:w="3708" w:x="1798" w:y="4029"/>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41.</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递延所得税资产</w:t>
      </w:r>
      <w:r>
        <w:rPr>
          <w:rFonts w:ascii="Calibri" w:eastAsiaTheme="minorEastAsia" w:hAnsiTheme="minorHAnsi" w:cstheme="minorBidi"/>
          <w:b/>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递延所得税负债</w:t>
      </w:r>
    </w:p>
    <w:p>
      <w:pPr>
        <w:framePr w:w="1817" w:x="1798" w:y="4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216" w:x="1798" w:y="478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递延所得税资产和递延所得税负债根据资产和负债的计税基础与其账面价值的差额</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暂时性</w:t>
      </w:r>
    </w:p>
    <w:p>
      <w:pPr>
        <w:framePr w:w="9216" w:x="1798" w:y="4788"/>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2"/>
          <w:sz w:val="21"/>
          <w:szCs w:val="22"/>
          <w:lang w:val="en-US" w:eastAsia="en-US" w:bidi="ar-SA"/>
        </w:rPr>
        <w:t>计算确认。于资产负债表日，递延所得税资产和递延所得税负债，按照预期收回该资产或清</w:t>
      </w:r>
    </w:p>
    <w:p>
      <w:pPr>
        <w:framePr w:w="9216" w:x="1798" w:y="478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偿该负债期间的适用税率计量。</w:t>
      </w:r>
    </w:p>
    <w:p>
      <w:pPr>
        <w:framePr w:w="3091" w:x="2220" w:y="6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．确认递延所得税资产的依据</w:t>
      </w:r>
    </w:p>
    <w:p>
      <w:pPr>
        <w:framePr w:w="9216" w:x="1798" w:y="64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本公司以很可能取得用来抵扣可抵扣暂时性差异、能够结转以后年度的可抵扣亏损和税款抵</w:t>
      </w:r>
    </w:p>
    <w:p>
      <w:pPr>
        <w:framePr w:w="9216" w:x="1798" w:y="64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减的应纳税所得额为限，确认由可抵扣暂时性差异产生的递延所得税资产。但是，同时具有下列</w:t>
      </w:r>
    </w:p>
    <w:p>
      <w:pPr>
        <w:framePr w:w="9216" w:x="1798" w:y="642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特征的交易中因资产或负债的初始确认所产生的递延所得税资产不予确认：（</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4"/>
          <w:sz w:val="21"/>
          <w:szCs w:val="22"/>
          <w:lang w:val="en-US" w:eastAsia="en-US" w:bidi="ar-SA"/>
        </w:rPr>
        <w:t>）该交易不是企业</w:t>
      </w:r>
    </w:p>
    <w:p>
      <w:pPr>
        <w:framePr w:w="9216" w:x="1798" w:y="64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z w:val="21"/>
          <w:szCs w:val="22"/>
          <w:lang w:val="en-US" w:eastAsia="en-US" w:bidi="ar-SA"/>
        </w:rPr>
        <w:t>）交易发生时既不影响会计利润也不影响应纳税所得额或可抵扣亏损。</w:t>
      </w:r>
    </w:p>
    <w:p>
      <w:pPr>
        <w:framePr w:w="9216" w:x="1798" w:y="642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对于与联营企业投资相关的可抵扣暂时性差异，同时满足下列条件的，确认相应的递延所得</w:t>
      </w:r>
    </w:p>
    <w:p>
      <w:pPr>
        <w:framePr w:w="9216" w:x="1798" w:y="64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税资产：暂时性差异在可预见的未来很可能转回，且未来很可能获得用来抵扣可抵扣暂时性差异</w:t>
      </w:r>
    </w:p>
    <w:p>
      <w:pPr>
        <w:framePr w:w="9216" w:x="1798" w:y="6423"/>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的应纳税所得额。</w:t>
      </w:r>
    </w:p>
    <w:p>
      <w:pPr>
        <w:framePr w:w="3091" w:x="2220" w:y="92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．确认递延所得税负债的依据</w:t>
      </w:r>
    </w:p>
    <w:p>
      <w:pPr>
        <w:framePr w:w="8477" w:x="2218" w:y="96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公司将当期与以前期间应交未交的应纳税暂时性差异确认为递延所得税负债。但不包括：</w:t>
      </w:r>
    </w:p>
    <w:p>
      <w:pPr>
        <w:framePr w:w="8477" w:x="2218" w:y="96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）商誉的初始确认所形成的暂时性差异；</w:t>
      </w:r>
    </w:p>
    <w:p>
      <w:pPr>
        <w:framePr w:w="9078" w:x="1798" w:y="1050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）非企业合并形成的交易或事项，且该交易或事项发生时既不影响会计利润，也不影响应</w:t>
      </w:r>
    </w:p>
    <w:p>
      <w:pPr>
        <w:framePr w:w="9078" w:x="1798" w:y="1050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纳税所得额（或可抵扣亏损）所形成的暂时性差异；</w:t>
      </w:r>
    </w:p>
    <w:p>
      <w:pPr>
        <w:framePr w:w="9078" w:x="1798" w:y="1132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）对于与子公司、联营企业投资相关的应纳税暂时性差异，该暂时性差异转回的时间能够</w:t>
      </w:r>
    </w:p>
    <w:p>
      <w:pPr>
        <w:framePr w:w="9078" w:x="1798" w:y="1132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控制并且该暂时性差异在可预见的未来很可能不会转回。</w:t>
      </w:r>
    </w:p>
    <w:p>
      <w:pPr>
        <w:framePr w:w="9110" w:x="1798" w:y="12143"/>
        <w:widowControl w:val="0"/>
        <w:autoSpaceDE w:val="0"/>
        <w:autoSpaceDN w:val="0"/>
        <w:spacing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．同时满足下列条件时，将递延所得税资产及递延所得税负债以抵销后的净额列示</w:t>
      </w:r>
    </w:p>
    <w:p>
      <w:pPr>
        <w:framePr w:w="9110" w:x="1798" w:y="12143"/>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）企业拥有以净额结算当期所得税资产及当期所得税负债的法定权利；</w:t>
      </w:r>
    </w:p>
    <w:p>
      <w:pPr>
        <w:framePr w:w="9110" w:x="1798" w:y="12143"/>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2"/>
          <w:sz w:val="21"/>
          <w:szCs w:val="22"/>
          <w:lang w:val="en-US" w:eastAsia="en-US" w:bidi="ar-SA"/>
        </w:rPr>
        <w:t>）递延所得税资产和递延所得税负债是与同一税收征管部门对同一纳税主体征收的所得税</w:t>
      </w:r>
    </w:p>
    <w:p>
      <w:pPr>
        <w:framePr w:w="9110" w:x="1798" w:y="121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相关或者对不同的纳税主体相关，但在未来每一具有重要性的递延所得税资产和递延所得税负债</w:t>
      </w:r>
    </w:p>
    <w:p>
      <w:pPr>
        <w:framePr w:w="9110" w:x="1798" w:y="121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转回的期间内，涉及的纳税主体体意图以净额结算当期所得税资产及当期所得税负债或是同时取</w:t>
      </w:r>
    </w:p>
    <w:p>
      <w:pPr>
        <w:framePr w:w="9110" w:x="1798" w:y="121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得资产、清偿债务。</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69" type="#_x0000_t75" style="width:445.6pt;height:2.7pt;margin-top:53.65pt;margin-left:87.45pt;mso-position-horizontal-relative:page;mso-position-vertical-relative:page;position:absolute;z-index:-25157734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0" w:name="br1_79"/>
      <w:bookmarkEnd w:id="8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7" w:x="1798" w:y="1516"/>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42.</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w:t>
      </w:r>
    </w:p>
    <w:p>
      <w:pPr>
        <w:framePr w:w="2988"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经营租赁的会计处理方法</w:t>
      </w:r>
    </w:p>
    <w:p>
      <w:pPr>
        <w:framePr w:w="2988" w:x="1798" w:y="186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35" w:x="221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）经营租入资产</w:t>
      </w:r>
    </w:p>
    <w:p>
      <w:pPr>
        <w:framePr w:w="9068" w:x="1798" w:y="301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公司租入资产所支付的租赁费，在不扣除免租期的整个租赁期内，按直线法进行分摊，计入</w:t>
      </w:r>
    </w:p>
    <w:p>
      <w:pPr>
        <w:framePr w:w="9068" w:x="1798" w:y="30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当期费用。公司支付的与租赁交易相关的初始直接费用，计入当期费用。</w:t>
      </w:r>
    </w:p>
    <w:p>
      <w:pPr>
        <w:framePr w:w="9068" w:x="1798" w:y="301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资产出租方承担了应由公司承担的与租赁相关的费用时，公司将该部分费用从租金总额中扣</w:t>
      </w:r>
    </w:p>
    <w:p>
      <w:pPr>
        <w:framePr w:w="9068" w:x="1798" w:y="30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除，按扣除后的租金费用在租赁期内分摊，计入当期费用。</w:t>
      </w:r>
    </w:p>
    <w:p>
      <w:pPr>
        <w:framePr w:w="2035" w:x="2218"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）经营租出资产</w:t>
      </w:r>
    </w:p>
    <w:p>
      <w:pPr>
        <w:framePr w:w="9110" w:x="1798" w:y="50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公司出租资产所收取的租赁费，在不扣除免租期的整个租赁期内，按直线法进行分摊，确认</w:t>
      </w:r>
    </w:p>
    <w:p>
      <w:pPr>
        <w:framePr w:w="9110" w:x="1798" w:y="50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为租赁收入。公司支付的与租赁交易相关的初始直接费用，计入当期费用；如金额较大的，则予</w:t>
      </w:r>
    </w:p>
    <w:p>
      <w:pPr>
        <w:framePr w:w="9110" w:x="1798" w:y="50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以资本化，在整个租赁期间内按照与租赁收入确认相同的基础分期计入当期收益。</w:t>
      </w:r>
    </w:p>
    <w:p>
      <w:pPr>
        <w:framePr w:w="9110" w:x="1798" w:y="5062"/>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公司承担了应由承租方承担的与租赁相关的费用时，公司将该部分费用从租金收入总额中扣</w:t>
      </w:r>
    </w:p>
    <w:p>
      <w:pPr>
        <w:framePr w:w="9110" w:x="1798" w:y="50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除，按扣除后的租金费用在租赁期内分配。</w:t>
      </w:r>
    </w:p>
    <w:p>
      <w:pPr>
        <w:framePr w:w="2988" w:x="1798" w:y="71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融资租赁的会计处理方法</w:t>
      </w:r>
    </w:p>
    <w:p>
      <w:pPr>
        <w:framePr w:w="1817" w:x="1798" w:y="74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794" w:x="2218" w:y="7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）融资租入资产：公司在承租开始日，将租赁资产公允价值与最低租赁付款额现值两者中</w:t>
      </w:r>
    </w:p>
    <w:p>
      <w:pPr>
        <w:framePr w:w="9110" w:x="1798" w:y="81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较低者作为租入资产的入账价值，将最低租赁付款额作为长期应付款的入账价值，其差额作为未</w:t>
      </w:r>
    </w:p>
    <w:p>
      <w:pPr>
        <w:framePr w:w="9110" w:x="1798" w:y="81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确认的融资费用。融资租入资产的认定依据、计价和折旧方法详见本附注七</w:t>
      </w:r>
      <w:r>
        <w:rPr>
          <w:rFonts w:ascii="SimSun" w:eastAsiaTheme="minorEastAsia" w:hAnsiTheme="minorHAnsi" w:cstheme="minorBidi"/>
          <w:color w:val="000000"/>
          <w:sz w:val="21"/>
          <w:szCs w:val="22"/>
          <w:lang w:val="en-US" w:eastAsia="en-US" w:bidi="ar-SA"/>
        </w:rPr>
        <w:t>/20</w:t>
      </w:r>
      <w:r>
        <w:rPr>
          <w:rFonts w:ascii="SimSun" w:hAnsi="SimSun" w:eastAsiaTheme="minorEastAsia" w:cs="SimSun"/>
          <w:color w:val="000000"/>
          <w:sz w:val="21"/>
          <w:szCs w:val="22"/>
          <w:lang w:val="en-US" w:eastAsia="en-US" w:bidi="ar-SA"/>
        </w:rPr>
        <w:t>固定资产。</w:t>
      </w:r>
    </w:p>
    <w:p>
      <w:pPr>
        <w:framePr w:w="9110" w:x="1798" w:y="8177"/>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公司采用实际利率法对未确认的融资费用，在资产租赁期间内摊销，计入财务费用。</w:t>
      </w:r>
    </w:p>
    <w:p>
      <w:pPr>
        <w:framePr w:w="9110" w:x="1798" w:y="8177"/>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）融资租出资产：公司在租赁开始日，将应收融资租赁款，未担保余值之和与其现值的差</w:t>
      </w:r>
    </w:p>
    <w:p>
      <w:pPr>
        <w:framePr w:w="9110" w:x="1798" w:y="81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额确认为未实现融资收益，在将来收到租金的各期间内确认为租赁收入，公司发生的与出租交易</w:t>
      </w:r>
    </w:p>
    <w:p>
      <w:pPr>
        <w:framePr w:w="9110" w:x="1798" w:y="81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相关的初始直接费用，计入应收融资租赁款的初始计量中，并减少租赁期内确认的收益金额。</w:t>
      </w:r>
    </w:p>
    <w:p>
      <w:pPr>
        <w:framePr w:w="4886" w:x="1798" w:y="109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新租赁准则下租赁的确定方法及会计处理方法</w:t>
      </w:r>
    </w:p>
    <w:p>
      <w:pPr>
        <w:framePr w:w="1817" w:x="1798" w:y="114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7" w:x="1798" w:y="1201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43.</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其他重要的会计政策和会计估计</w:t>
      </w:r>
    </w:p>
    <w:p>
      <w:pPr>
        <w:framePr w:w="1817" w:x="1798" w:y="12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2218" w:y="12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（一）套期会计</w:t>
      </w:r>
    </w:p>
    <w:p>
      <w:pPr>
        <w:framePr w:w="9078" w:x="1798" w:y="1318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本公司按照套期关系，将套期保值划分为公允价值套期、现金流量套期和境外净投资套期。</w:t>
      </w:r>
    </w:p>
    <w:p>
      <w:pPr>
        <w:framePr w:w="9078" w:x="1798" w:y="13184"/>
        <w:widowControl w:val="0"/>
        <w:autoSpaceDE w:val="0"/>
        <w:autoSpaceDN w:val="0"/>
        <w:spacing w:before="197" w:line="211" w:lineRule="exact"/>
        <w:ind w:left="422"/>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．对于同时满足下列条件的套期工具，运用套期会计方法进行处理</w:t>
      </w:r>
    </w:p>
    <w:p>
      <w:pPr>
        <w:framePr w:w="9078" w:x="1798" w:y="13184"/>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）套期关系仅由符合条件的套期工具和被套期项目组成。</w:t>
      </w:r>
    </w:p>
    <w:p>
      <w:pPr>
        <w:framePr w:w="9078" w:x="1798" w:y="13184"/>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）在套期开始时，本公司正式指定了套期工具和被套期项目，并准备了关于套期关系和从</w:t>
      </w:r>
    </w:p>
    <w:p>
      <w:pPr>
        <w:framePr w:w="9078" w:x="1798" w:y="1318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事套期的风险管理策略和风险管理目标的书面文件。</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0" type="#_x0000_t75" style="width:445.6pt;height:2.7pt;margin-top:53.65pt;margin-left:87.45pt;mso-position-horizontal-relative:page;mso-position-vertical-relative:page;position:absolute;z-index:-25157632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1" w:name="br1_80"/>
      <w:bookmarkEnd w:id="8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725"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）套期关系符合套期有效性要求。</w:t>
      </w:r>
    </w:p>
    <w:p>
      <w:pPr>
        <w:framePr w:w="6154" w:x="221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套期同时满足下列条件的，认定套期关系符合套期有效性要求：</w:t>
      </w:r>
    </w:p>
    <w:p>
      <w:pPr>
        <w:framePr w:w="9078" w:x="1798" w:y="235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）被套期项目和套期工具之间存在经济关系。该经济关系使得套期工具和被套期项目的价值</w:t>
      </w:r>
    </w:p>
    <w:p>
      <w:pPr>
        <w:framePr w:w="9078" w:x="179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因面临相同的被套期风险而发生方向相反的变动。</w:t>
      </w:r>
    </w:p>
    <w:p>
      <w:pPr>
        <w:framePr w:w="9110" w:x="1798" w:y="31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）被套期项目和套期工具经济关系产生的价值变动中，信用风险的影响不占主导地位。</w:t>
      </w:r>
    </w:p>
    <w:p>
      <w:pPr>
        <w:framePr w:w="9110" w:x="1798" w:y="3170"/>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）套期关系的套期比率，等于公司实际套期的被套期项目数量与对其进行套期的套期工具实</w:t>
      </w:r>
    </w:p>
    <w:p>
      <w:pPr>
        <w:framePr w:w="9110" w:x="1798" w:y="317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际数量之比，但不反映被套期项目和套期工具相对权重的失衡，这种失衡会导致套期无效，并可</w:t>
      </w:r>
    </w:p>
    <w:p>
      <w:pPr>
        <w:framePr w:w="9110"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能产生与套期会计目标不一致的会计结果。</w:t>
      </w:r>
    </w:p>
    <w:p>
      <w:pPr>
        <w:framePr w:w="2669" w:x="2220" w:y="48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．公允价值套期会计处理</w:t>
      </w:r>
    </w:p>
    <w:p>
      <w:pPr>
        <w:framePr w:w="9110" w:x="1798" w:y="521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）套期工具产生的利得或损失计入当期损益。如果套期工具是对选择以公允价值计量且其</w:t>
      </w:r>
    </w:p>
    <w:p>
      <w:pPr>
        <w:framePr w:w="9110" w:x="1798" w:y="521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变动计入其他综合收益的非交易性权益工具投资（或其组成部分）进行套期的，套期工具产生的</w:t>
      </w:r>
    </w:p>
    <w:p>
      <w:pPr>
        <w:framePr w:w="9110" w:x="1798" w:y="52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利得或损失计入其他综合收益。</w:t>
      </w:r>
    </w:p>
    <w:p>
      <w:pPr>
        <w:framePr w:w="9110"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）被套期项目因被套期风险敞口形成的利得或损失计入当期损益，同时调整未以公允价值</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计量的已确认被套期项目的账面价值。被套期项目为以公允价值计量且其变动计入其他综合收益</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的金融资产（或其组成部分）的，其因被套期风险敞口形成的利得或损失计入当期损益，其账面</w:t>
      </w:r>
    </w:p>
    <w:p>
      <w:pPr>
        <w:framePr w:w="9110" w:x="1798" w:y="643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价值已经按公允价值计量，不需要调整；被套期项目为公司选择以公允价值计量且其变动计入其</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他综合收益的非交易性权益工具投资（或其组成部分）的，其因被套期风险敞口形成的利得或损</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失计入其他综合收益，其账面价值已经按公允价值计量，不需要调整。</w:t>
      </w:r>
    </w:p>
    <w:p>
      <w:pPr>
        <w:framePr w:w="9110" w:x="1798" w:y="6439"/>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被套期项目为尚未确认的确定承诺（或其组成部分）的，其在套期关系指定后因被套期风险</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引起的公允价值累计变动额确认为一项资产或负债，相关的利得或损失计入各相关期间损益。当</w:t>
      </w:r>
    </w:p>
    <w:p>
      <w:pPr>
        <w:framePr w:w="9110" w:x="1798" w:y="643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履行确定承诺而取得资产或承担负债时，调整该资产或负债的初始确认金额，以包括已确认的被</w:t>
      </w:r>
    </w:p>
    <w:p>
      <w:pPr>
        <w:framePr w:w="9110" w:x="1798" w:y="64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套期项目的公允价值累计变动额。</w:t>
      </w:r>
    </w:p>
    <w:p>
      <w:pPr>
        <w:framePr w:w="9110" w:x="1798" w:y="105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）被套期项目为以摊余成本计量的金融工具（或其组成部分）的，对被套期项目账面价值</w:t>
      </w:r>
    </w:p>
    <w:p>
      <w:pPr>
        <w:framePr w:w="9110" w:x="1798" w:y="10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所作的调整按照开始摊销日重新计算的实际利率进行摊销，并计入当期损益。该摊销可以自调整</w:t>
      </w:r>
    </w:p>
    <w:p>
      <w:pPr>
        <w:framePr w:w="9110" w:x="1798" w:y="1052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日开始，但不晚于对被套期项目终止进行套期利得和损失调整的时点。被套期项目为以公允价值</w:t>
      </w:r>
    </w:p>
    <w:p>
      <w:pPr>
        <w:framePr w:w="9110" w:x="1798" w:y="10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计量且其变动计入其他综合收益的金融资产（或其组成部分）的，则按照相同的方式对累计已确</w:t>
      </w:r>
    </w:p>
    <w:p>
      <w:pPr>
        <w:framePr w:w="9110" w:x="1798" w:y="10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认的套期利得或损失进行摊销，并计入当期损益，但不调整金融资产（或其组成部分）的账面价</w:t>
      </w:r>
    </w:p>
    <w:p>
      <w:pPr>
        <w:framePr w:w="9110" w:x="1798" w:y="10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w:t>
      </w:r>
    </w:p>
    <w:p>
      <w:pPr>
        <w:framePr w:w="2669" w:x="2220" w:y="129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．现金流量套期会计处理</w:t>
      </w:r>
    </w:p>
    <w:p>
      <w:pPr>
        <w:framePr w:w="9078" w:x="1798" w:y="1338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）套期工具产生的利得或损失中属于套期有效的部分，作为现金流量套期储备，计入其他</w:t>
      </w:r>
    </w:p>
    <w:p>
      <w:pPr>
        <w:framePr w:w="9078" w:x="1798" w:y="1338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综合收益。现金流量套期储备的金额，按照下列两项的绝对额中较低者确定：</w:t>
      </w:r>
    </w:p>
    <w:p>
      <w:pPr>
        <w:framePr w:w="9078" w:x="1798" w:y="1338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）套期工具自套期开始的累计利得或损失；</w:t>
      </w:r>
    </w:p>
    <w:p>
      <w:pPr>
        <w:framePr w:w="8794" w:x="2218" w:y="146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）被套期项目自套期开始的预计未来现金流量现值的累计变动额。每期计入其他综合收益的</w:t>
      </w:r>
    </w:p>
    <w:p>
      <w:pPr>
        <w:framePr w:w="5942" w:x="179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现金流量套期储备的金额为当期现金流量套期储备的变动额。</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1" type="#_x0000_t75" style="width:445.6pt;height:2.7pt;margin-top:53.65pt;margin-left:87.45pt;mso-position-horizontal-relative:page;mso-position-vertical-relative:page;position:absolute;z-index:-25157529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2" w:name="br1_81"/>
      <w:bookmarkEnd w:id="8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78"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2"/>
          <w:sz w:val="21"/>
          <w:szCs w:val="22"/>
          <w:lang w:val="en-US" w:eastAsia="en-US" w:bidi="ar-SA"/>
        </w:rPr>
        <w:t>）套期工具产生的利得或损失中属于套期无效的部分（即扣除计入其他综合收益后的其他</w:t>
      </w:r>
    </w:p>
    <w:p>
      <w:pPr>
        <w:framePr w:w="9078"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利得或损失），计入当期损益。</w:t>
      </w:r>
    </w:p>
    <w:p>
      <w:pPr>
        <w:framePr w:w="5203"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）现金流量套期储备的金额，按照下列规定处理：</w:t>
      </w:r>
    </w:p>
    <w:p>
      <w:pPr>
        <w:framePr w:w="9178" w:x="1798" w:y="276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）被套期项目为预期交易，且该预期交易使公司随后确认一项非金融资产或非金融负债的，</w:t>
      </w:r>
    </w:p>
    <w:p>
      <w:pPr>
        <w:framePr w:w="9178"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或者非金融资产或非金融负债的预期交易形成一项适用于公允价值套期会计的确定承诺时，则将</w:t>
      </w:r>
    </w:p>
    <w:p>
      <w:pPr>
        <w:framePr w:w="9178"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原在其他综合收益中确认的现金流量套期储备金额转出，计入该资产或负债的初始确认金额。</w:t>
      </w:r>
    </w:p>
    <w:p>
      <w:pPr>
        <w:framePr w:w="9178" w:x="1798" w:y="2762"/>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）对于不属于前一条涉及的现金流量套期，在被套期的预期现金流量影响损益的相同期间，</w:t>
      </w:r>
    </w:p>
    <w:p>
      <w:pPr>
        <w:framePr w:w="9178"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将原在其他综合收益中确认的现金流量套期储备金额转出，计入当期损益。</w:t>
      </w:r>
    </w:p>
    <w:p>
      <w:pPr>
        <w:framePr w:w="9178" w:x="1798" w:y="2762"/>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）如果在其他综合收益中确认的现金流量套期储备金额是一项损失，且该损失全部或部分预</w:t>
      </w:r>
    </w:p>
    <w:p>
      <w:pPr>
        <w:framePr w:w="9178" w:x="1798" w:y="27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计在未来会计期间不能弥补的，则在预计不能弥补时，将预计不能弥补的部分从其他综合收益中</w:t>
      </w:r>
    </w:p>
    <w:p>
      <w:pPr>
        <w:framePr w:w="9178" w:x="1798" w:y="276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转出，计入当期损益。</w:t>
      </w:r>
    </w:p>
    <w:p>
      <w:pPr>
        <w:framePr w:w="2458" w:x="2220" w:y="6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1"/>
          <w:sz w:val="21"/>
          <w:szCs w:val="22"/>
          <w:lang w:val="en-US" w:eastAsia="en-US" w:bidi="ar-SA"/>
        </w:rPr>
        <w:t>．境外经营净投资套期</w:t>
      </w:r>
    </w:p>
    <w:p>
      <w:pPr>
        <w:framePr w:w="9068" w:x="1798" w:y="643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对境外经营净投资的套期，包括对作为净投资的一部分进行会计处理的货币性项目的套期，</w:t>
      </w:r>
    </w:p>
    <w:p>
      <w:pPr>
        <w:framePr w:w="9068" w:x="1798" w:y="6439"/>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本公司按照类似于现金流量套期会计的规定处理</w:t>
      </w:r>
      <w:r>
        <w:rPr>
          <w:rFonts w:ascii="SimSun" w:eastAsiaTheme="minorEastAsia" w:hAnsiTheme="minorHAnsi" w:cstheme="minorBidi"/>
          <w:color w:val="000000"/>
          <w:sz w:val="21"/>
          <w:szCs w:val="22"/>
          <w:lang w:val="en-US" w:eastAsia="en-US" w:bidi="ar-SA"/>
        </w:rPr>
        <w:t>:</w:t>
      </w:r>
    </w:p>
    <w:p>
      <w:pPr>
        <w:framePr w:w="9068" w:x="1798" w:y="72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）套期工具形成的利得或损失中属于套期有效的部分，应当计入其他综合收益。</w:t>
      </w:r>
    </w:p>
    <w:p>
      <w:pPr>
        <w:framePr w:w="9068" w:x="1798" w:y="7255"/>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全部或部分处置境外经营时，上述计入其他综合收益的套期工具利得或损失应当相应转出，</w:t>
      </w:r>
    </w:p>
    <w:p>
      <w:pPr>
        <w:framePr w:w="9068" w:x="1798" w:y="72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w:t>
      </w:r>
    </w:p>
    <w:p>
      <w:pPr>
        <w:framePr w:w="7526" w:x="2218" w:y="8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）套期工具形成的利得或损失中属于套期无效的部分，应当计入当期损益。</w:t>
      </w:r>
    </w:p>
    <w:p>
      <w:pPr>
        <w:framePr w:w="7526" w:x="2218" w:y="848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1"/>
          <w:sz w:val="21"/>
          <w:szCs w:val="22"/>
          <w:lang w:val="en-US" w:eastAsia="en-US" w:bidi="ar-SA"/>
        </w:rPr>
        <w:t>．终止运用套期会计</w:t>
      </w:r>
    </w:p>
    <w:p>
      <w:pPr>
        <w:framePr w:w="4886" w:x="2218" w:y="9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对于发生下列情形之一的，则终止运用套期会计：</w:t>
      </w:r>
    </w:p>
    <w:p>
      <w:pPr>
        <w:framePr w:w="6893" w:x="2218" w:y="9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）因风险管理目标发生变化，导致套期关系不再满足风险管理目标。</w:t>
      </w:r>
    </w:p>
    <w:p>
      <w:pPr>
        <w:framePr w:w="6893" w:x="2218" w:y="970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）套期工具已到期、被出售、合同终止或已行使。</w:t>
      </w:r>
    </w:p>
    <w:p>
      <w:pPr>
        <w:framePr w:w="9078" w:x="1798" w:y="1052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2"/>
          <w:sz w:val="21"/>
          <w:szCs w:val="22"/>
          <w:lang w:val="en-US" w:eastAsia="en-US" w:bidi="ar-SA"/>
        </w:rPr>
        <w:t>）被套期项目与套期工具之间不再存在经济关系，或者被套期项目和套期工具经济关系产</w:t>
      </w:r>
    </w:p>
    <w:p>
      <w:pPr>
        <w:framePr w:w="9078" w:x="1798" w:y="1052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生的价值变动中，信用风险的影响开始占主导地位。</w:t>
      </w:r>
    </w:p>
    <w:p>
      <w:pPr>
        <w:framePr w:w="9110" w:x="1798" w:y="113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pacing w:val="-2"/>
          <w:sz w:val="21"/>
          <w:szCs w:val="22"/>
          <w:lang w:val="en-US" w:eastAsia="en-US" w:bidi="ar-SA"/>
        </w:rPr>
        <w:t>）套期关系不再满足本准则所规定的运用套期会计方法的其他条件。在适用套期关系再平</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衡的情况下，企业应当首先考虑套期关系再平衡，然后评估套期关系是否满足本准则所规定的运</w:t>
      </w:r>
    </w:p>
    <w:p>
      <w:pPr>
        <w:framePr w:w="9110" w:x="1798" w:y="113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用套期会计方法的条件。</w:t>
      </w:r>
    </w:p>
    <w:p>
      <w:pPr>
        <w:framePr w:w="9068" w:x="1798" w:y="1256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终止套期会计可能会影响套期关系的整体或其中一部分，在仅影响其中一部分时，剩余未受</w:t>
      </w:r>
    </w:p>
    <w:p>
      <w:pPr>
        <w:framePr w:w="9068" w:x="1798" w:y="1256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影响的部分仍适用套期会计。</w:t>
      </w:r>
    </w:p>
    <w:p>
      <w:pPr>
        <w:framePr w:w="3302" w:x="2220" w:y="13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．信用风险敞口的公允价值选择</w:t>
      </w:r>
    </w:p>
    <w:p>
      <w:pPr>
        <w:framePr w:w="9322" w:x="1798" w:y="1379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当使用以公允价值计量且其变动计入当期损益的信用衍生工具管理金融工具（或其组成部分）</w:t>
      </w:r>
    </w:p>
    <w:p>
      <w:pPr>
        <w:framePr w:w="9322"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的信用风险敞口时，可以在该金融工具（或其组成部分）初始确认时、后续计量中或尚未确认时，</w:t>
      </w:r>
    </w:p>
    <w:p>
      <w:pPr>
        <w:framePr w:w="9322" w:x="1798" w:y="137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将其指定为以公允价值计量且其变动计入当期损益的金融工具，并同时作出书面记录，但应同时</w:t>
      </w:r>
    </w:p>
    <w:p>
      <w:pPr>
        <w:framePr w:w="1718" w:x="179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满足下列条件：</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2" type="#_x0000_t75" style="width:445.6pt;height:2.7pt;margin-top:53.65pt;margin-left:87.45pt;mso-position-horizontal-relative:page;mso-position-vertical-relative:page;position:absolute;z-index:-25157427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83" w:name="br1_82"/>
      <w:bookmarkEnd w:id="8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8794" w:x="221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2"/>
          <w:sz w:val="21"/>
          <w:szCs w:val="22"/>
          <w:lang w:val="en-US" w:eastAsia="en-US" w:bidi="ar-SA"/>
        </w:rPr>
        <w:t>）金融工具信用风险敞口的主体（如借款人或贷款承诺持有人）与信用衍生工具涉及的主</w:t>
      </w:r>
    </w:p>
    <w:p>
      <w:pPr>
        <w:framePr w:w="1296"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体相一致；</w:t>
      </w:r>
    </w:p>
    <w:p>
      <w:pPr>
        <w:framePr w:w="8160" w:x="2218" w:y="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）金融工具的偿付级次与根据信用衍生工具条款须交付的工具的偿付级次相一致。</w:t>
      </w:r>
    </w:p>
    <w:p>
      <w:pPr>
        <w:framePr w:w="8160" w:x="2218" w:y="23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（二）安全生产费</w:t>
      </w:r>
    </w:p>
    <w:p>
      <w:pPr>
        <w:framePr w:w="9110" w:x="1798" w:y="317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本公司按照国家规定提取的安全生产费，计入相关产品的成本或当期损益，同时记入“专项</w:t>
      </w:r>
    </w:p>
    <w:p>
      <w:pPr>
        <w:framePr w:w="9110"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储备”科目。使用提取的安全生产费时，属于费用性支出的，直接冲减专项储备。形成固定资产</w:t>
      </w:r>
    </w:p>
    <w:p>
      <w:pPr>
        <w:framePr w:w="9110" w:x="1798" w:y="317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的，通过“在建工程”科目归集所发生的支出，待安全项目完工达到预定可使用状态时确认为固</w:t>
      </w:r>
    </w:p>
    <w:p>
      <w:pPr>
        <w:framePr w:w="9110"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定资产；同时，按照形成固定资产的成本冲减专项储备，并确认相同金额的累计折旧。该固定资</w:t>
      </w:r>
    </w:p>
    <w:p>
      <w:pPr>
        <w:framePr w:w="9110" w:x="1798" w:y="317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产在以后期间不再计提折旧。</w:t>
      </w:r>
    </w:p>
    <w:p>
      <w:pPr>
        <w:framePr w:w="3617" w:x="1798" w:y="5527"/>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44.</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重要会计政策和会计估计的变更</w:t>
      </w:r>
    </w:p>
    <w:p>
      <w:pPr>
        <w:framePr w:w="3617" w:x="1798" w:y="5527"/>
        <w:widowControl w:val="0"/>
        <w:autoSpaceDE w:val="0"/>
        <w:autoSpaceDN w:val="0"/>
        <w:spacing w:before="9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重要会计政策变更</w:t>
      </w:r>
    </w:p>
    <w:p>
      <w:pPr>
        <w:framePr w:w="1817" w:x="1798" w:y="6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80" w:x="7907" w:y="67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受重要影响的报表项目</w:t>
      </w:r>
    </w:p>
    <w:p>
      <w:pPr>
        <w:framePr w:w="2774" w:x="1906" w:y="6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会计政策变更的内容和原因</w:t>
      </w:r>
    </w:p>
    <w:p>
      <w:pPr>
        <w:framePr w:w="1085" w:x="5751" w:y="6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审批程序</w:t>
      </w:r>
    </w:p>
    <w:p>
      <w:pPr>
        <w:framePr w:w="1402" w:x="8644" w:y="70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名称和金额</w:t>
      </w:r>
      <w:r>
        <w:rPr>
          <w:rFonts w:ascii="SimSun" w:eastAsiaTheme="minorEastAsia" w:hAnsiTheme="minorHAnsi" w:cstheme="minorBidi"/>
          <w:color w:val="000000"/>
          <w:sz w:val="21"/>
          <w:szCs w:val="22"/>
          <w:lang w:val="en-US" w:eastAsia="en-US" w:bidi="ar-SA"/>
        </w:rPr>
        <w:t>)</w:t>
      </w:r>
    </w:p>
    <w:p>
      <w:pPr>
        <w:framePr w:w="4249" w:x="1798" w:y="7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财政部修订并印发了《关于修</w:t>
      </w:r>
      <w:r>
        <w:rPr>
          <w:rFonts w:eastAsiaTheme="minorEastAsia" w:hAnsiTheme="minorHAnsi" w:cstheme="minorBidi"/>
          <w:color w:val="000000"/>
          <w:spacing w:val="1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董事会审批</w:t>
      </w:r>
    </w:p>
    <w:p>
      <w:pPr>
        <w:framePr w:w="4249" w:x="1798" w:y="73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订印发</w:t>
      </w:r>
      <w:r>
        <w:rPr>
          <w:rFonts w:ascii="SimSun" w:eastAsiaTheme="minorEastAsia" w:hAnsiTheme="minorHAnsi" w:cstheme="minorBidi"/>
          <w:color w:val="000000"/>
          <w:spacing w:val="1"/>
          <w:sz w:val="21"/>
          <w:szCs w:val="22"/>
          <w:lang w:val="en-US" w:eastAsia="en-US" w:bidi="ar-SA"/>
        </w:rPr>
        <w:t>&lt;</w:t>
      </w:r>
      <w:r>
        <w:rPr>
          <w:rFonts w:ascii="SimSun" w:hAnsi="SimSun" w:eastAsiaTheme="minorEastAsia" w:cs="SimSun"/>
          <w:color w:val="000000"/>
          <w:sz w:val="21"/>
          <w:szCs w:val="22"/>
          <w:lang w:val="en-US" w:eastAsia="en-US" w:bidi="ar-SA"/>
        </w:rPr>
        <w:t>企业会计准则第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14</w:t>
      </w:r>
      <w:r>
        <w:rPr>
          <w:rFonts w:ascii="SimSun" w:hAnsi="SimSun" w:eastAsiaTheme="minorEastAsia" w:cs="SimSun"/>
          <w:color w:val="000000"/>
          <w:sz w:val="21"/>
          <w:szCs w:val="22"/>
          <w:lang w:val="en-US" w:eastAsia="en-US" w:bidi="ar-SA"/>
        </w:rPr>
        <w:t>号</w:t>
      </w:r>
    </w:p>
    <w:p>
      <w:pPr>
        <w:framePr w:w="4249" w:x="1798" w:y="73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—收入</w:t>
      </w:r>
      <w:r>
        <w:rPr>
          <w:rFonts w:ascii="SimSun" w:eastAsiaTheme="minorEastAsia" w:hAnsiTheme="minorHAnsi" w:cstheme="minorBidi"/>
          <w:color w:val="000000"/>
          <w:spacing w:val="1"/>
          <w:sz w:val="21"/>
          <w:szCs w:val="22"/>
          <w:lang w:val="en-US" w:eastAsia="en-US" w:bidi="ar-SA"/>
        </w:rPr>
        <w:t>&gt;</w:t>
      </w:r>
      <w:r>
        <w:rPr>
          <w:rFonts w:ascii="SimSun" w:hAnsi="SimSun" w:eastAsiaTheme="minorEastAsia" w:cs="SimSun"/>
          <w:color w:val="000000"/>
          <w:sz w:val="21"/>
          <w:szCs w:val="22"/>
          <w:lang w:val="en-US" w:eastAsia="en-US" w:bidi="ar-SA"/>
        </w:rPr>
        <w:t>的通知》（财会</w:t>
      </w:r>
    </w:p>
    <w:p>
      <w:pPr>
        <w:framePr w:w="3197" w:x="7809" w:y="7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本次会计政策变不涉及对公司</w:t>
      </w:r>
    </w:p>
    <w:p>
      <w:pPr>
        <w:framePr w:w="3197" w:x="7809" w:y="73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以前年度的追溯调整，仅对期</w:t>
      </w:r>
    </w:p>
    <w:p>
      <w:pPr>
        <w:framePr w:w="3197" w:x="7809" w:y="73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初留存收益及其他相关报表项</w:t>
      </w:r>
    </w:p>
    <w:p>
      <w:pPr>
        <w:framePr w:w="3197" w:x="7809" w:y="73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目金额进行调整，不会对公司</w:t>
      </w:r>
    </w:p>
    <w:p>
      <w:pPr>
        <w:framePr w:w="3197" w:x="7809" w:y="73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财务状况、经营成果和现金流</w:t>
      </w:r>
    </w:p>
    <w:p>
      <w:pPr>
        <w:framePr w:w="3197" w:x="7809" w:y="73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产生重大影响。具体调整如下：</w:t>
      </w:r>
    </w:p>
    <w:p>
      <w:pPr>
        <w:framePr w:w="3197" w:x="7809" w:y="73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预收账款期初数：</w:t>
      </w:r>
    </w:p>
    <w:p>
      <w:pPr>
        <w:framePr w:w="3197" w:x="1798" w:y="81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[2017]22</w:t>
      </w:r>
      <w:r>
        <w:rPr>
          <w:rFonts w:ascii="SimSun" w:hAnsi="SimSun" w:eastAsiaTheme="minorEastAsia" w:cs="SimSun"/>
          <w:color w:val="000000"/>
          <w:spacing w:val="-15"/>
          <w:sz w:val="21"/>
          <w:szCs w:val="22"/>
          <w:lang w:val="en-US" w:eastAsia="en-US" w:bidi="ar-SA"/>
        </w:rPr>
        <w:t>号），对收入的确认、</w:t>
      </w:r>
    </w:p>
    <w:p>
      <w:pPr>
        <w:framePr w:w="3197" w:x="1798" w:y="8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计量进行了修订：</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将现行收</w:t>
      </w:r>
    </w:p>
    <w:p>
      <w:pPr>
        <w:framePr w:w="3197" w:x="1798" w:y="813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入和建造合同两项准则纳入统</w:t>
      </w:r>
    </w:p>
    <w:p>
      <w:pPr>
        <w:framePr w:w="3197" w:x="1798" w:y="8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一的收入确认模型；</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引入了</w:t>
      </w:r>
    </w:p>
    <w:p>
      <w:pPr>
        <w:framePr w:w="3197" w:x="1798" w:y="813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收入确认计量的五步法，并以</w:t>
      </w:r>
    </w:p>
    <w:p>
      <w:pPr>
        <w:framePr w:w="3197" w:x="1798" w:y="8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控制权转移替代风险报酬转移</w:t>
      </w:r>
    </w:p>
    <w:p>
      <w:pPr>
        <w:framePr w:w="3197" w:x="1798" w:y="813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作为收入确认时点的判断标</w:t>
      </w:r>
    </w:p>
    <w:p>
      <w:pPr>
        <w:framePr w:w="3197" w:x="1798" w:y="8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对于包含多重交易安排</w:t>
      </w:r>
    </w:p>
    <w:p>
      <w:pPr>
        <w:framePr w:w="3197" w:x="1798" w:y="813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的合同的会计处理提供更明确</w:t>
      </w:r>
    </w:p>
    <w:p>
      <w:pPr>
        <w:framePr w:w="3197" w:x="1798" w:y="8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的指引；</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对于某些特定交易</w:t>
      </w:r>
    </w:p>
    <w:p>
      <w:pPr>
        <w:framePr w:w="3197" w:x="1798" w:y="813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（或事项）的收入确认和计量</w:t>
      </w:r>
    </w:p>
    <w:p>
      <w:pPr>
        <w:framePr w:w="3197" w:x="1798" w:y="813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给出了明确规定。</w:t>
      </w:r>
    </w:p>
    <w:p>
      <w:pPr>
        <w:framePr w:w="1976" w:x="7809" w:y="92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r>
        <w:rPr>
          <w:rFonts w:ascii="SimSun" w:hAnsi="SimSun" w:eastAsiaTheme="minorEastAsia" w:cs="SimSun"/>
          <w:color w:val="000000"/>
          <w:sz w:val="21"/>
          <w:szCs w:val="22"/>
          <w:lang w:val="en-US" w:eastAsia="en-US" w:bidi="ar-SA"/>
        </w:rPr>
        <w:t>元</w:t>
      </w:r>
    </w:p>
    <w:p>
      <w:pPr>
        <w:framePr w:w="1930" w:x="7809" w:y="9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合同负债期初数：</w:t>
      </w:r>
    </w:p>
    <w:p>
      <w:pPr>
        <w:framePr w:w="1870" w:x="7809" w:y="9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r>
        <w:rPr>
          <w:rFonts w:ascii="SimSun" w:hAnsi="SimSun" w:eastAsiaTheme="minorEastAsia" w:cs="SimSun"/>
          <w:color w:val="000000"/>
          <w:sz w:val="21"/>
          <w:szCs w:val="22"/>
          <w:lang w:val="en-US" w:eastAsia="en-US" w:bidi="ar-SA"/>
        </w:rPr>
        <w:t>元</w:t>
      </w:r>
    </w:p>
    <w:p>
      <w:pPr>
        <w:framePr w:w="4249" w:x="1798" w:y="114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pacing w:val="-6"/>
          <w:sz w:val="21"/>
          <w:szCs w:val="22"/>
          <w:lang w:val="en-US" w:eastAsia="en-US" w:bidi="ar-SA"/>
        </w:rPr>
        <w:t>日，财政部发布</w:t>
      </w:r>
      <w:r>
        <w:rPr>
          <w:rFonts w:eastAsiaTheme="minorEastAsia" w:hAnsiTheme="minorHAnsi" w:cstheme="minorBidi"/>
          <w:color w:val="000000"/>
          <w:spacing w:val="16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董事会审批</w:t>
      </w:r>
    </w:p>
    <w:p>
      <w:pPr>
        <w:framePr w:w="4249" w:x="1798"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了《企业会计准则第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4"/>
          <w:sz w:val="21"/>
          <w:szCs w:val="22"/>
          <w:lang w:val="en-US" w:eastAsia="en-US" w:bidi="ar-SA"/>
        </w:rPr>
        <w:t>7</w:t>
      </w:r>
      <w:r>
        <w:rPr>
          <w:rFonts w:ascii="SimSun" w:hAnsi="SimSun" w:eastAsiaTheme="minorEastAsia" w:cs="SimSun"/>
          <w:color w:val="000000"/>
          <w:sz w:val="21"/>
          <w:szCs w:val="22"/>
          <w:lang w:val="en-US" w:eastAsia="en-US" w:bidi="ar-SA"/>
        </w:rPr>
        <w:t>号—非</w:t>
      </w:r>
    </w:p>
    <w:p>
      <w:pPr>
        <w:framePr w:w="4249" w:x="1798"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5"/>
          <w:sz w:val="21"/>
          <w:szCs w:val="22"/>
          <w:lang w:val="en-US" w:eastAsia="en-US" w:bidi="ar-SA"/>
        </w:rPr>
        <w:t>货币性资产交换》（财会〔</w:t>
      </w:r>
      <w:r>
        <w:rPr>
          <w:rFonts w:ascii="SimSun" w:eastAsiaTheme="minorEastAsia" w:hAnsiTheme="minorHAnsi" w:cstheme="minorBidi"/>
          <w:color w:val="000000"/>
          <w:spacing w:val="-1"/>
          <w:sz w:val="21"/>
          <w:szCs w:val="22"/>
          <w:lang w:val="en-US" w:eastAsia="en-US" w:bidi="ar-SA"/>
        </w:rPr>
        <w:t>2019</w:t>
      </w:r>
      <w:r>
        <w:rPr>
          <w:rFonts w:ascii="SimSun" w:hAnsi="SimSun" w:eastAsiaTheme="minorEastAsia" w:cs="SimSun"/>
          <w:color w:val="000000"/>
          <w:sz w:val="21"/>
          <w:szCs w:val="22"/>
          <w:lang w:val="en-US" w:eastAsia="en-US" w:bidi="ar-SA"/>
        </w:rPr>
        <w:t>〕</w:t>
      </w:r>
    </w:p>
    <w:p>
      <w:pPr>
        <w:framePr w:w="4249" w:x="1798" w:y="11415"/>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8</w:t>
      </w:r>
      <w:r>
        <w:rPr>
          <w:rFonts w:ascii="SimSun" w:hAnsi="SimSun" w:eastAsiaTheme="minorEastAsia" w:cs="SimSun"/>
          <w:color w:val="000000"/>
          <w:sz w:val="21"/>
          <w:szCs w:val="22"/>
          <w:lang w:val="en-US" w:eastAsia="en-US" w:bidi="ar-SA"/>
        </w:rPr>
        <w:t>号），对非货币性资产交货</w:t>
      </w:r>
    </w:p>
    <w:p>
      <w:pPr>
        <w:framePr w:w="4249" w:x="1798"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确认和计量进行了修订：</w:t>
      </w:r>
      <w:r>
        <w:rPr>
          <w:rFonts w:ascii="SimSun" w:eastAsiaTheme="minorEastAsia" w:hAnsiTheme="minorHAnsi" w:cstheme="minorBidi"/>
          <w:color w:val="000000"/>
          <w:spacing w:val="-2"/>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明</w:t>
      </w:r>
    </w:p>
    <w:p>
      <w:pPr>
        <w:framePr w:w="4249" w:x="1798"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确准则适用范围以及对“非货</w:t>
      </w:r>
    </w:p>
    <w:p>
      <w:pPr>
        <w:framePr w:w="4249" w:x="1798"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币性资产交换”和“货币性资</w:t>
      </w:r>
    </w:p>
    <w:p>
      <w:pPr>
        <w:framePr w:w="4249" w:x="1798"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产”的定义；</w:t>
      </w: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明确了非货币</w:t>
      </w:r>
    </w:p>
    <w:p>
      <w:pPr>
        <w:framePr w:w="4249" w:x="1798"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性资产交换的确认时点。对于</w:t>
      </w:r>
    </w:p>
    <w:p>
      <w:pPr>
        <w:framePr w:w="4249" w:x="1798"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换入资产，企业应当在换入资</w:t>
      </w:r>
    </w:p>
    <w:p>
      <w:pPr>
        <w:framePr w:w="4249" w:x="1798"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产符合资产定义并满足资产确</w:t>
      </w:r>
    </w:p>
    <w:p>
      <w:pPr>
        <w:framePr w:w="4249" w:x="1798"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认条件时予以确认；对于换出</w:t>
      </w:r>
    </w:p>
    <w:p>
      <w:pPr>
        <w:framePr w:w="4249" w:x="1798"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资产，企业应当在换出资产满</w:t>
      </w:r>
    </w:p>
    <w:p>
      <w:pPr>
        <w:framePr w:w="4249" w:x="1798"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足资产终止确认条件时终止确</w:t>
      </w:r>
    </w:p>
    <w:p>
      <w:pPr>
        <w:framePr w:w="2986" w:x="7809" w:y="114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本次会计政策变更不会对公司</w:t>
      </w:r>
    </w:p>
    <w:p>
      <w:pPr>
        <w:framePr w:w="2986" w:x="7809" w:y="1141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当期及前期的财务状况、经营</w:t>
      </w:r>
    </w:p>
    <w:p>
      <w:pPr>
        <w:framePr w:w="2986" w:x="7809" w:y="114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成果和现金流产生影响。</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3" type="#_x0000_t75" style="width:445.6pt;height:2.7pt;margin-top:53.65pt;margin-left:87.45pt;mso-position-horizontal-relative:page;mso-position-vertical-relative:page;position:absolute;z-index:-251463680">
            <v:imagedata r:id="rId111" o:title=""/>
          </v:shape>
        </w:pict>
      </w:r>
      <w:r>
        <w:rPr>
          <w:noProof/>
        </w:rPr>
        <w:pict>
          <v:shape id="_x0000_s1174" type="#_x0000_t75" style="width:454.95pt;height:426.15pt;margin-top:335.35pt;margin-left:83.25pt;mso-position-horizontal-relative:page;mso-position-vertical-relative:page;position:absolute;z-index:-251573248">
            <v:imagedata r:id="rId112" o:title=""/>
          </v:shape>
        </w:pict>
      </w:r>
    </w:p>
    <w:p>
      <w:pPr>
        <w:spacing w:line="0" w:lineRule="atLeast"/>
        <w:rPr>
          <w:rFonts w:ascii="Arial" w:eastAsiaTheme="minorEastAsia" w:hAnsiTheme="minorHAnsi" w:cstheme="minorBidi"/>
          <w:color w:val="FF0000"/>
          <w:sz w:val="2"/>
          <w:szCs w:val="22"/>
          <w:lang w:val="en-US" w:eastAsia="en-US" w:bidi="ar-SA"/>
        </w:rPr>
      </w:pPr>
      <w:bookmarkStart w:id="84" w:name="br1_83"/>
      <w:bookmarkEnd w:id="8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986"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认；</w:t>
      </w: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明确了不同条件下非货</w:t>
      </w:r>
    </w:p>
    <w:p>
      <w:pPr>
        <w:framePr w:w="2986" w:x="1798" w:y="1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币交换的价值计量基础和核算</w:t>
      </w:r>
    </w:p>
    <w:p>
      <w:pPr>
        <w:framePr w:w="2986" w:x="1798" w:y="154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方法及相关信息披露要求等。</w:t>
      </w:r>
    </w:p>
    <w:p>
      <w:pPr>
        <w:framePr w:w="4249" w:x="1798" w:y="2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w:t>
      </w:r>
      <w:r>
        <w:rPr>
          <w:rFonts w:ascii="SimSun" w:hAnsi="SimSun" w:eastAsiaTheme="minorEastAsia" w:cs="SimSun"/>
          <w:color w:val="000000"/>
          <w:sz w:val="21"/>
          <w:szCs w:val="22"/>
          <w:lang w:val="en-US" w:eastAsia="en-US" w:bidi="ar-SA"/>
        </w:rPr>
        <w:t>日，财政部发</w:t>
      </w:r>
      <w:r>
        <w:rPr>
          <w:rFonts w:eastAsiaTheme="minorEastAsia" w:hAnsiTheme="minorHAnsi" w:cstheme="minorBidi"/>
          <w:color w:val="000000"/>
          <w:spacing w:val="2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董事会审批</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布了《企业会计准则第</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pacing w:val="1"/>
          <w:sz w:val="21"/>
          <w:szCs w:val="22"/>
          <w:lang w:val="en-US" w:eastAsia="en-US" w:bidi="ar-SA"/>
        </w:rPr>
        <w:t>号—</w:t>
      </w:r>
    </w:p>
    <w:p>
      <w:pPr>
        <w:framePr w:w="4249" w:x="1798" w:y="2373"/>
        <w:widowControl w:val="0"/>
        <w:autoSpaceDE w:val="0"/>
        <w:autoSpaceDN w:val="0"/>
        <w:spacing w:before="6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债务重组》（财会〔</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9</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号），对债务重组确认、计量、</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列报进行了修订：</w:t>
      </w: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在债务重</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组定义方面，强调重新达成协</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议，不再强调债务人发生财务</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困难、债权人做出让步，将重</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组债权和债务指定为《企业会</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计准则第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z w:val="21"/>
          <w:szCs w:val="22"/>
          <w:lang w:val="en-US" w:eastAsia="en-US" w:bidi="ar-SA"/>
        </w:rPr>
        <w:t>号—金融工具确</w:t>
      </w:r>
    </w:p>
    <w:p>
      <w:pPr>
        <w:framePr w:w="4249" w:x="1798" w:y="2373"/>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认和计量》规范的金融工具范</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畴；</w:t>
      </w: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对以非现金资产清偿债</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务方式进行债务重组的，明确</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了债权人初始确认受让的金融</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资产以外的资产时的成本计量</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原则；</w:t>
      </w:r>
      <w:r>
        <w:rPr>
          <w:rFonts w:ascii="SimSun" w:eastAsiaTheme="minorEastAsia" w:hAnsiTheme="minorHAnsi" w:cstheme="minorBidi"/>
          <w:color w:val="000000"/>
          <w:spacing w:val="-2"/>
          <w:sz w:val="21"/>
          <w:szCs w:val="22"/>
          <w:lang w:val="en-US" w:eastAsia="en-US" w:bidi="ar-SA"/>
        </w:rPr>
        <w:t>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明确了债权人放弃债</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权采用公允价值计量；</w:t>
      </w: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重新</w:t>
      </w:r>
    </w:p>
    <w:p>
      <w:pPr>
        <w:framePr w:w="4249" w:x="1798"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规定了债权人、债务人的会计</w:t>
      </w:r>
    </w:p>
    <w:p>
      <w:pPr>
        <w:framePr w:w="4249" w:x="1798"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处理及信息披露要求等。</w:t>
      </w:r>
    </w:p>
    <w:p>
      <w:pPr>
        <w:framePr w:w="2986" w:x="7809" w:y="2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本次会计政策变更不会对公司</w:t>
      </w:r>
    </w:p>
    <w:p>
      <w:pPr>
        <w:framePr w:w="2986" w:x="7809" w:y="23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当期及前期的财务状况、经营</w:t>
      </w:r>
    </w:p>
    <w:p>
      <w:pPr>
        <w:framePr w:w="2986" w:x="7809" w:y="237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成果和现金流产生影响。</w:t>
      </w:r>
    </w:p>
    <w:p>
      <w:pPr>
        <w:framePr w:w="1296" w:x="1798" w:y="7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783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357" w:x="1798" w:y="8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重要会计估计变更</w:t>
      </w:r>
    </w:p>
    <w:p>
      <w:pPr>
        <w:framePr w:w="1817" w:x="1798" w:y="9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598" w:x="1798" w:y="9627"/>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Cambria" w:eastAsiaTheme="minorEastAsia" w:hAnsiTheme="minorHAnsi" w:cstheme="minorBidi"/>
          <w:b/>
          <w:color w:val="000000"/>
          <w:sz w:val="21"/>
          <w:szCs w:val="22"/>
          <w:lang w:val="en-US" w:eastAsia="en-US" w:bidi="ar-SA"/>
        </w:rPr>
        <w:t>2020</w:t>
      </w:r>
      <w:r>
        <w:rPr>
          <w:rFonts w:ascii="Cambria" w:eastAsiaTheme="minorEastAsia" w:hAnsiTheme="minorHAnsi" w:cstheme="minorBidi"/>
          <w:b/>
          <w:color w:val="000000"/>
          <w:spacing w:val="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年起首次执行新收入准则、新租赁准则调整首次执行当年年初财务报表相关情况</w:t>
      </w:r>
    </w:p>
    <w:p>
      <w:pPr>
        <w:framePr w:w="5393" w:x="1798" w:y="99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93" w:x="1798" w:y="9978"/>
        <w:widowControl w:val="0"/>
        <w:autoSpaceDE w:val="0"/>
        <w:autoSpaceDN w:val="0"/>
        <w:spacing w:before="62" w:line="211" w:lineRule="exact"/>
        <w:ind w:left="368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合并资产负债表</w:t>
      </w:r>
    </w:p>
    <w:p>
      <w:pPr>
        <w:framePr w:w="2343" w:x="8531" w:y="105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662" w:x="3058" w:y="10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3754" w:x="4957" w:y="10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23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日</w:t>
      </w:r>
    </w:p>
    <w:p>
      <w:pPr>
        <w:framePr w:w="874" w:x="9374" w:y="10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调整数</w:t>
      </w:r>
    </w:p>
    <w:p>
      <w:pPr>
        <w:framePr w:w="1296" w:x="1798" w:y="110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296" w:x="1798" w:y="11086"/>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5178" w:y="11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718" w:x="5178" w:y="11369"/>
        <w:widowControl w:val="0"/>
        <w:autoSpaceDE w:val="0"/>
        <w:autoSpaceDN w:val="0"/>
        <w:spacing w:before="63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718" w:x="7074" w:y="11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718" w:x="7074" w:y="11369"/>
        <w:widowControl w:val="0"/>
        <w:autoSpaceDE w:val="0"/>
        <w:autoSpaceDN w:val="0"/>
        <w:spacing w:before="63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55,822,821.60</w:t>
      </w:r>
    </w:p>
    <w:p>
      <w:pPr>
        <w:framePr w:w="1296" w:x="2009" w:y="11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结算备付金</w:t>
      </w:r>
    </w:p>
    <w:p>
      <w:pPr>
        <w:framePr w:w="1296" w:x="2009" w:y="11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拆出资金</w:t>
      </w:r>
    </w:p>
    <w:p>
      <w:pPr>
        <w:framePr w:w="1718" w:x="2009" w:y="122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1221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122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718" w:x="5178" w:y="12781"/>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718" w:x="5178" w:y="1278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286,626,640.04</w:t>
      </w:r>
    </w:p>
    <w:p>
      <w:pPr>
        <w:framePr w:w="1718" w:x="5178" w:y="1278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718" w:x="5178" w:y="1278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718" w:x="7074" w:y="12781"/>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718" w:x="7074" w:y="1278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286,626,640.04</w:t>
      </w:r>
    </w:p>
    <w:p>
      <w:pPr>
        <w:framePr w:w="1718" w:x="7074" w:y="1278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718" w:x="7074" w:y="1278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1085" w:x="2009" w:y="13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507" w:x="2009" w:y="133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133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085" w:x="2009" w:y="139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应收保费</w:t>
      </w:r>
    </w:p>
    <w:p>
      <w:pPr>
        <w:framePr w:w="2141" w:x="2009" w:y="141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应收分保账款</w:t>
      </w:r>
    </w:p>
    <w:p>
      <w:pPr>
        <w:framePr w:w="2141" w:x="2009" w:y="141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应收分保合同准备金</w:t>
      </w:r>
    </w:p>
    <w:p>
      <w:pPr>
        <w:framePr w:w="2141" w:x="2009" w:y="141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507" w:x="5389" w:y="14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507" w:x="7285" w:y="14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718" w:x="2009" w:y="15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5" type="#_x0000_t75" style="width:445.6pt;height:2.7pt;margin-top:53.65pt;margin-left:87.45pt;mso-position-horizontal-relative:page;mso-position-vertical-relative:page;position:absolute;z-index:-251385856">
            <v:imagedata r:id="rId113" o:title=""/>
          </v:shape>
        </w:pict>
      </w:r>
      <w:r>
        <w:rPr>
          <w:noProof/>
        </w:rPr>
        <w:pict>
          <v:shape id="_x0000_s1176" type="#_x0000_t75" style="width:454.95pt;height:303.15pt;margin-top:74.3pt;margin-left:83.25pt;mso-position-horizontal-relative:page;mso-position-vertical-relative:page;position:absolute;z-index:-251462656">
            <v:imagedata r:id="rId114" o:title=""/>
          </v:shape>
        </w:pict>
      </w:r>
      <w:r>
        <w:rPr>
          <w:noProof/>
        </w:rPr>
        <w:pict>
          <v:shape id="_x0000_s1177" type="#_x0000_t75" style="width:454.5pt;height:228.35pt;margin-top:537.3pt;margin-left:83.25pt;mso-position-horizontal-relative:page;mso-position-vertical-relative:page;position:absolute;z-index:-251572224">
            <v:imagedata r:id="rId115" o:title=""/>
          </v:shape>
        </w:pict>
      </w:r>
    </w:p>
    <w:p>
      <w:pPr>
        <w:spacing w:line="0" w:lineRule="atLeast"/>
        <w:rPr>
          <w:rFonts w:ascii="Arial" w:eastAsiaTheme="minorEastAsia" w:hAnsiTheme="minorHAnsi" w:cstheme="minorBidi"/>
          <w:color w:val="FF0000"/>
          <w:sz w:val="2"/>
          <w:szCs w:val="22"/>
          <w:lang w:val="en-US" w:eastAsia="en-US" w:bidi="ar-SA"/>
        </w:rPr>
      </w:pPr>
      <w:bookmarkStart w:id="85" w:name="br1_84"/>
      <w:bookmarkEnd w:id="8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930" w:x="2009" w:y="1547"/>
        <w:widowControl w:val="0"/>
        <w:autoSpaceDE w:val="0"/>
        <w:autoSpaceDN w:val="0"/>
        <w:spacing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930"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买入返售金融资产</w:t>
      </w:r>
    </w:p>
    <w:p>
      <w:pPr>
        <w:framePr w:w="1930" w:x="2009"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5178"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433,650,594.00</w:t>
      </w:r>
    </w:p>
    <w:p>
      <w:pPr>
        <w:framePr w:w="1718" w:x="5178" w:y="2112"/>
        <w:widowControl w:val="0"/>
        <w:autoSpaceDE w:val="0"/>
        <w:autoSpaceDN w:val="0"/>
        <w:spacing w:before="91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718" w:x="7074"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433,650,594.00</w:t>
      </w:r>
    </w:p>
    <w:p>
      <w:pPr>
        <w:framePr w:w="1718" w:x="7074" w:y="2112"/>
        <w:widowControl w:val="0"/>
        <w:autoSpaceDE w:val="0"/>
        <w:autoSpaceDN w:val="0"/>
        <w:spacing w:before="91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1085" w:x="2009"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2676"/>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2676"/>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2676"/>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2676"/>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26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2765" w:x="1798" w:y="2676"/>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发放贷款和垫款</w:t>
      </w:r>
    </w:p>
    <w:p>
      <w:pPr>
        <w:framePr w:w="2765" w:x="1798" w:y="2676"/>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3819" w:x="4969"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1,412,505,608.75</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1,412,505,608.75</w:t>
      </w:r>
    </w:p>
    <w:p>
      <w:pPr>
        <w:framePr w:w="1507" w:x="2009"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1507" w:x="2009" w:y="4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5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52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521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52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52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718" w:x="5178" w:y="6065"/>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718" w:x="5178" w:y="60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718" w:x="5178" w:y="606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1718" w:x="7074" w:y="6065"/>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718" w:x="7074" w:y="60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718" w:x="7074" w:y="606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1085" w:x="2009" w:y="6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69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69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7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085" w:x="2009" w:y="77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718" w:x="5178"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118,694,309.33</w:t>
      </w:r>
    </w:p>
    <w:p>
      <w:pPr>
        <w:framePr w:w="1718" w:x="7074"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118,694,309.33</w:t>
      </w:r>
    </w:p>
    <w:p>
      <w:pPr>
        <w:framePr w:w="1085" w:x="2009" w:y="8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8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8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86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86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8607"/>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8607"/>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1718" w:x="5178" w:y="8888"/>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718" w:x="5178" w:y="88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718" w:x="5178" w:y="88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891,639,864.53</w:t>
      </w:r>
    </w:p>
    <w:p>
      <w:pPr>
        <w:framePr w:w="1718" w:x="7074" w:y="8888"/>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1718" w:x="7074" w:y="88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718" w:x="7074" w:y="88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891,639,864.53</w:t>
      </w:r>
    </w:p>
    <w:p>
      <w:pPr>
        <w:framePr w:w="3819" w:x="4969" w:y="97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2,304,145,473.28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p>
    <w:p>
      <w:pPr>
        <w:framePr w:w="1296" w:x="1798" w:y="10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085" w:x="2009" w:y="10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613" w:x="5283" w:y="103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613" w:x="5283" w:y="10302"/>
        <w:widowControl w:val="0"/>
        <w:autoSpaceDE w:val="0"/>
        <w:autoSpaceDN w:val="0"/>
        <w:spacing w:before="63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613" w:x="7180" w:y="103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1613" w:x="7180" w:y="10302"/>
        <w:widowControl w:val="0"/>
        <w:autoSpaceDE w:val="0"/>
        <w:autoSpaceDN w:val="0"/>
        <w:spacing w:before="63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2009" w:y="105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向中央银行借款</w:t>
      </w:r>
    </w:p>
    <w:p>
      <w:pPr>
        <w:framePr w:w="1718" w:x="2009" w:y="105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拆入资金</w:t>
      </w:r>
    </w:p>
    <w:p>
      <w:pPr>
        <w:framePr w:w="1718" w:x="2009" w:y="111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1114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1114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718" w:x="5178" w:y="11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5178" w:y="1171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1718" w:x="5178" w:y="11713"/>
        <w:widowControl w:val="0"/>
        <w:autoSpaceDE w:val="0"/>
        <w:autoSpaceDN w:val="0"/>
        <w:spacing w:before="7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718" w:x="7074" w:y="1171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1718" w:x="7074" w:y="1171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1085" w:x="2009" w:y="11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122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718" w:x="9151" w:y="122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718" w:x="9151" w:y="12277"/>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085" w:x="2009" w:y="12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613" w:x="7180" w:y="125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2141" w:x="2009" w:y="12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卖出回购金融资产款</w:t>
      </w:r>
    </w:p>
    <w:p>
      <w:pPr>
        <w:framePr w:w="2141" w:x="2009" w:y="128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吸收存款及同业存放</w:t>
      </w:r>
    </w:p>
    <w:p>
      <w:pPr>
        <w:framePr w:w="2141" w:x="2009" w:y="128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代理买卖证券款</w:t>
      </w:r>
    </w:p>
    <w:p>
      <w:pPr>
        <w:framePr w:w="2141" w:x="2009" w:y="1284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代理承销证券款</w:t>
      </w:r>
    </w:p>
    <w:p>
      <w:pPr>
        <w:framePr w:w="2141" w:x="2009" w:y="128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2141" w:x="2009" w:y="1284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613" w:x="5283" w:y="13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5283" w:y="1397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5283" w:y="1397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613" w:x="7180" w:y="13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p>
    <w:p>
      <w:pPr>
        <w:framePr w:w="1613" w:x="7180" w:y="1397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613" w:x="7180" w:y="1397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296" w:x="2009" w:y="14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14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14819"/>
        <w:widowControl w:val="0"/>
        <w:autoSpaceDE w:val="0"/>
        <w:autoSpaceDN w:val="0"/>
        <w:spacing w:before="70"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78" type="#_x0000_t75" style="width:445.6pt;height:2.7pt;margin-top:53.65pt;margin-left:87.45pt;mso-position-horizontal-relative:page;mso-position-vertical-relative:page;position:absolute;z-index:-251461632">
            <v:imagedata r:id="rId116" o:title=""/>
          </v:shape>
        </w:pict>
      </w:r>
      <w:r>
        <w:rPr>
          <w:noProof/>
        </w:rPr>
        <w:pict>
          <v:shape id="_x0000_s1179" type="#_x0000_t75" style="width:454.5pt;height:694.4pt;margin-top:74.3pt;margin-left:83.25pt;mso-position-horizontal-relative:page;mso-position-vertical-relative:page;position:absolute;z-index:-251571200">
            <v:imagedata r:id="rId117" o:title=""/>
          </v:shape>
        </w:pict>
      </w:r>
    </w:p>
    <w:p>
      <w:pPr>
        <w:spacing w:line="0" w:lineRule="atLeast"/>
        <w:rPr>
          <w:rFonts w:ascii="Arial" w:eastAsiaTheme="minorEastAsia" w:hAnsiTheme="minorHAnsi" w:cstheme="minorBidi"/>
          <w:color w:val="FF0000"/>
          <w:sz w:val="2"/>
          <w:szCs w:val="22"/>
          <w:lang w:val="en-US" w:eastAsia="en-US" w:bidi="ar-SA"/>
        </w:rPr>
      </w:pPr>
      <w:bookmarkStart w:id="86" w:name="br1_85"/>
      <w:bookmarkEnd w:id="8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765" w:x="1798" w:y="154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应付手续费及佣金</w:t>
      </w:r>
    </w:p>
    <w:p>
      <w:pPr>
        <w:framePr w:w="2765" w:x="1798" w:y="1547"/>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应付分保账款</w:t>
      </w:r>
    </w:p>
    <w:p>
      <w:pPr>
        <w:framePr w:w="2765" w:x="1798"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1547"/>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1547"/>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保险合同准备金</w:t>
      </w:r>
    </w:p>
    <w:p>
      <w:pPr>
        <w:framePr w:w="2765" w:x="1798"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718" w:x="5178" w:y="239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718" w:x="5178" w:y="2395"/>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588,425,390.84</w:t>
      </w:r>
    </w:p>
    <w:p>
      <w:pPr>
        <w:framePr w:w="1718" w:x="7074" w:y="2395"/>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718" w:x="7074" w:y="2395"/>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588,425,390.84</w:t>
      </w:r>
    </w:p>
    <w:p>
      <w:pPr>
        <w:framePr w:w="1718" w:x="5178"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718" w:x="7074"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085"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43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4370"/>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49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296" w:x="2009" w:y="5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5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55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613" w:x="5283" w:y="57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5283" w:y="578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5283" w:y="5782"/>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613" w:x="7180" w:y="57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7180" w:y="578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7180" w:y="5782"/>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102,871.18</w:t>
      </w:r>
    </w:p>
    <w:p>
      <w:pPr>
        <w:framePr w:w="1085" w:x="2009" w:y="6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923" w:x="2009" w:y="63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63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6348"/>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923" w:x="2009" w:y="6348"/>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1718" w:x="5178"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158,543,701.74</w:t>
      </w:r>
    </w:p>
    <w:p>
      <w:pPr>
        <w:framePr w:w="1718" w:x="5178" w:y="69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746,969,092.58</w:t>
      </w:r>
    </w:p>
    <w:p>
      <w:pPr>
        <w:framePr w:w="1718" w:x="7074"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158,543,701.74</w:t>
      </w:r>
    </w:p>
    <w:p>
      <w:pPr>
        <w:framePr w:w="1718" w:x="7074" w:y="69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746,969,092.58</w:t>
      </w:r>
    </w:p>
    <w:p>
      <w:pPr>
        <w:framePr w:w="2986" w:x="1798" w:y="74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7476"/>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7476"/>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7476"/>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7476"/>
        <w:widowControl w:val="0"/>
        <w:autoSpaceDE w:val="0"/>
        <w:autoSpaceDN w:val="0"/>
        <w:spacing w:before="72"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718" w:x="5178"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7074" w:y="77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085" w:x="2009" w:y="88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718" w:x="5178" w:y="88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1718" w:x="7074" w:y="88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1296" w:x="2009" w:y="9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94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94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613" w:x="5283" w:y="97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5283" w:y="973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613" w:x="7180" w:y="97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7180" w:y="973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085" w:x="2009" w:y="10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507" w:x="2009" w:y="10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一般风险准备</w:t>
      </w:r>
    </w:p>
    <w:p>
      <w:pPr>
        <w:framePr w:w="1507" w:x="2009" w:y="103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1718" w:x="5178" w:y="105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1718" w:x="7074" w:y="105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6779" w:x="2009" w:y="108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归属于母公司所有者权益（或</w:t>
      </w:r>
      <w:r>
        <w:rPr>
          <w:rFonts w:eastAsiaTheme="minorEastAsia" w:hAnsiTheme="minorHAnsi" w:cstheme="minorBidi"/>
          <w:color w:val="000000"/>
          <w:spacing w:val="17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p>
    <w:p>
      <w:pPr>
        <w:framePr w:w="1718" w:x="1798" w:y="111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股东权益）合计</w:t>
      </w:r>
    </w:p>
    <w:p>
      <w:pPr>
        <w:framePr w:w="1507" w:x="2009" w:y="11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w:t>
      </w:r>
    </w:p>
    <w:p>
      <w:pPr>
        <w:framePr w:w="6570" w:x="2218" w:y="117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所有者权益（或股东权益）</w:t>
      </w:r>
      <w:r>
        <w:rPr>
          <w:rFonts w:eastAsiaTheme="minorEastAsia" w:hAnsiTheme="minorHAnsi" w:cstheme="minorBidi"/>
          <w:color w:val="000000"/>
          <w:spacing w:val="17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1,557,176,380.70</w:t>
      </w:r>
    </w:p>
    <w:p>
      <w:pPr>
        <w:framePr w:w="662" w:x="1798" w:y="11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6359" w:x="2429" w:y="122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负债和所有者权益（或股</w:t>
      </w:r>
      <w:r>
        <w:rPr>
          <w:rFonts w:eastAsiaTheme="minorEastAsia" w:hAnsiTheme="minorHAnsi" w:cstheme="minorBidi"/>
          <w:color w:val="000000"/>
          <w:spacing w:val="17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2,304,145,473.28</w:t>
      </w:r>
    </w:p>
    <w:p>
      <w:pPr>
        <w:framePr w:w="1507" w:x="1798" w:y="125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东权益）总计</w:t>
      </w:r>
    </w:p>
    <w:p>
      <w:pPr>
        <w:framePr w:w="2563" w:x="1798" w:y="13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各项目调整情况的说明：</w:t>
      </w:r>
    </w:p>
    <w:p>
      <w:pPr>
        <w:framePr w:w="2563" w:x="1798" w:y="1308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0" w:x="5375" w:y="13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母公司资产负债表</w:t>
      </w:r>
    </w:p>
    <w:p>
      <w:pPr>
        <w:framePr w:w="2341" w:x="8533" w:y="141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662" w:x="3012" w:y="14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3809" w:x="4871" w:y="14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w:t>
      </w:r>
      <w:r>
        <w:rPr>
          <w:rFonts w:eastAsiaTheme="minorEastAsia" w:hAnsiTheme="minorHAnsi" w:cstheme="minorBidi"/>
          <w:color w:val="000000"/>
          <w:spacing w:val="2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日</w:t>
      </w:r>
    </w:p>
    <w:p>
      <w:pPr>
        <w:framePr w:w="874" w:x="9364" w:y="14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调整数</w:t>
      </w:r>
    </w:p>
    <w:p>
      <w:pPr>
        <w:framePr w:w="1296" w:x="1798" w:y="14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流动资产：</w:t>
      </w:r>
    </w:p>
    <w:p>
      <w:pPr>
        <w:framePr w:w="1296" w:x="1798" w:y="1473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718" w:x="5147" w:y="150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301,620,107.59</w:t>
      </w:r>
    </w:p>
    <w:p>
      <w:pPr>
        <w:framePr w:w="1718" w:x="7043" w:y="150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301,620,107.59</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0" type="#_x0000_t75" style="width:445.6pt;height:2.7pt;margin-top:53.65pt;margin-left:87.45pt;mso-position-horizontal-relative:page;mso-position-vertical-relative:page;position:absolute;z-index:-251384832">
            <v:imagedata r:id="rId118" o:title=""/>
          </v:shape>
        </w:pict>
      </w:r>
      <w:r>
        <w:rPr>
          <w:noProof/>
        </w:rPr>
        <w:pict>
          <v:shape id="_x0000_s1181" type="#_x0000_t75" style="width:454.5pt;height:565.85pt;margin-top:74.3pt;margin-left:83.25pt;mso-position-horizontal-relative:page;mso-position-vertical-relative:page;position:absolute;z-index:-251460608">
            <v:imagedata r:id="rId119" o:title=""/>
          </v:shape>
        </w:pict>
      </w:r>
      <w:r>
        <w:rPr>
          <w:noProof/>
        </w:rPr>
        <w:pict>
          <v:shape id="_x0000_s1182" type="#_x0000_t75" style="width:454.95pt;height:44.85pt;margin-top:719.85pt;margin-left:83.25pt;mso-position-horizontal-relative:page;mso-position-vertical-relative:page;position:absolute;z-index:-251570176">
            <v:imagedata r:id="rId120" o:title=""/>
          </v:shape>
        </w:pict>
      </w:r>
    </w:p>
    <w:p>
      <w:pPr>
        <w:spacing w:line="0" w:lineRule="atLeast"/>
        <w:rPr>
          <w:rFonts w:ascii="Arial" w:eastAsiaTheme="minorEastAsia" w:hAnsiTheme="minorHAnsi" w:cstheme="minorBidi"/>
          <w:color w:val="FF0000"/>
          <w:sz w:val="2"/>
          <w:szCs w:val="22"/>
          <w:lang w:val="en-US" w:eastAsia="en-US" w:bidi="ar-SA"/>
        </w:rPr>
      </w:pPr>
      <w:bookmarkStart w:id="87" w:name="br1_86"/>
      <w:bookmarkEnd w:id="8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718" w:x="200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w:t>
      </w:r>
    </w:p>
    <w:p>
      <w:pPr>
        <w:framePr w:w="1718" w:x="2009"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718" w:x="2009"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613" w:x="525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1613" w:x="714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55,700,000.00</w:t>
      </w:r>
    </w:p>
    <w:p>
      <w:pPr>
        <w:framePr w:w="1718" w:x="5147" w:y="2112"/>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718" w:x="5147"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186,562,689.47</w:t>
      </w:r>
    </w:p>
    <w:p>
      <w:pPr>
        <w:framePr w:w="1718" w:x="5147" w:y="21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43,532,653.90</w:t>
      </w:r>
    </w:p>
    <w:p>
      <w:pPr>
        <w:framePr w:w="1718" w:x="5147"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138,947,809.00</w:t>
      </w:r>
    </w:p>
    <w:p>
      <w:pPr>
        <w:framePr w:w="1718" w:x="5147" w:y="21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718" w:x="7043" w:y="2112"/>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p>
    <w:p>
      <w:pPr>
        <w:framePr w:w="1718" w:x="7043"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186,562,689.47</w:t>
      </w:r>
    </w:p>
    <w:p>
      <w:pPr>
        <w:framePr w:w="1718" w:x="7043" w:y="21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43,532,653.90</w:t>
      </w:r>
    </w:p>
    <w:p>
      <w:pPr>
        <w:framePr w:w="1718" w:x="7043"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138,947,809.00</w:t>
      </w:r>
    </w:p>
    <w:p>
      <w:pPr>
        <w:framePr w:w="1718" w:x="7043" w:y="21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085" w:x="2009"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507" w:x="2009"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w:t>
      </w:r>
    </w:p>
    <w:p>
      <w:pPr>
        <w:framePr w:w="1507" w:x="2009" w:y="26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预付款项</w:t>
      </w:r>
    </w:p>
    <w:p>
      <w:pPr>
        <w:framePr w:w="1718" w:x="2009"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8" w:x="2009" w:y="32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其中：应收利息</w:t>
      </w:r>
    </w:p>
    <w:p>
      <w:pPr>
        <w:framePr w:w="1718" w:x="2009" w:y="3240"/>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662"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1718" w:x="5147" w:y="40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162,745,047.66</w:t>
      </w:r>
    </w:p>
    <w:p>
      <w:pPr>
        <w:framePr w:w="1718" w:x="7043" w:y="40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162,745,047.66</w:t>
      </w:r>
    </w:p>
    <w:p>
      <w:pPr>
        <w:framePr w:w="1085" w:x="2009" w:y="43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2765" w:x="1798" w:y="4653"/>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持有待售资产</w:t>
      </w:r>
    </w:p>
    <w:p>
      <w:pPr>
        <w:framePr w:w="2765" w:x="1798" w:y="4653"/>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一年内到期的非流动资产</w:t>
      </w:r>
    </w:p>
    <w:p>
      <w:pPr>
        <w:framePr w:w="2765" w:x="1798" w:y="4653"/>
        <w:widowControl w:val="0"/>
        <w:autoSpaceDE w:val="0"/>
        <w:autoSpaceDN w:val="0"/>
        <w:spacing w:before="73"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其他流动资产</w:t>
      </w:r>
    </w:p>
    <w:p>
      <w:pPr>
        <w:framePr w:w="2765" w:x="1798" w:y="4653"/>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流动资产合计</w:t>
      </w:r>
    </w:p>
    <w:p>
      <w:pPr>
        <w:framePr w:w="2765" w:x="1798" w:y="4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非流动资产：</w:t>
      </w:r>
    </w:p>
    <w:p>
      <w:pPr>
        <w:framePr w:w="2765" w:x="1798" w:y="465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w:t>
      </w:r>
    </w:p>
    <w:p>
      <w:pPr>
        <w:framePr w:w="1507" w:x="5358"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4,401,283.22</w:t>
      </w:r>
    </w:p>
    <w:p>
      <w:pPr>
        <w:framePr w:w="1507" w:x="7254" w:y="52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4,401,283.22</w:t>
      </w:r>
    </w:p>
    <w:p>
      <w:pPr>
        <w:framePr w:w="3819" w:x="4938" w:y="55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1,076,508,666.04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1,076,508,666.04</w:t>
      </w:r>
    </w:p>
    <w:p>
      <w:pPr>
        <w:framePr w:w="2141" w:x="2009" w:y="63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w:t>
      </w:r>
    </w:p>
    <w:p>
      <w:pPr>
        <w:framePr w:w="2141" w:x="2009" w:y="63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长期应收款</w:t>
      </w:r>
    </w:p>
    <w:p>
      <w:pPr>
        <w:framePr w:w="2141" w:x="2009" w:y="63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长期股权投资</w:t>
      </w:r>
    </w:p>
    <w:p>
      <w:pPr>
        <w:framePr w:w="2141" w:x="2009" w:y="63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w:t>
      </w:r>
    </w:p>
    <w:p>
      <w:pPr>
        <w:framePr w:w="2141" w:x="2009" w:y="63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其他非流动金融资产</w:t>
      </w:r>
    </w:p>
    <w:p>
      <w:pPr>
        <w:framePr w:w="2141" w:x="2009" w:y="63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w:t>
      </w:r>
    </w:p>
    <w:p>
      <w:pPr>
        <w:framePr w:w="2141" w:x="2009" w:y="63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718" w:x="5147"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7043"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613" w:x="5252" w:y="80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36,073,715.34</w:t>
      </w:r>
    </w:p>
    <w:p>
      <w:pPr>
        <w:framePr w:w="1613" w:x="5252" w:y="8040"/>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121,061.32</w:t>
      </w:r>
    </w:p>
    <w:p>
      <w:pPr>
        <w:framePr w:w="1613" w:x="7149" w:y="80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36,073,715.34</w:t>
      </w:r>
    </w:p>
    <w:p>
      <w:pPr>
        <w:framePr w:w="1613" w:x="7149" w:y="8040"/>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121,061.32</w:t>
      </w:r>
    </w:p>
    <w:p>
      <w:pPr>
        <w:framePr w:w="1085" w:x="2009" w:y="8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1718" w:x="2009" w:y="8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生产性生物资产</w:t>
      </w:r>
    </w:p>
    <w:p>
      <w:pPr>
        <w:framePr w:w="1718" w:x="2009" w:y="86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油气资产</w:t>
      </w:r>
    </w:p>
    <w:p>
      <w:pPr>
        <w:framePr w:w="1296" w:x="2009" w:y="9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使用权资产</w:t>
      </w:r>
    </w:p>
    <w:p>
      <w:pPr>
        <w:framePr w:w="1296" w:x="2009" w:y="917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1507" w:x="5358" w:y="94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2,838,406.99</w:t>
      </w:r>
    </w:p>
    <w:p>
      <w:pPr>
        <w:framePr w:w="1507" w:x="7254" w:y="94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2,838,406.99</w:t>
      </w:r>
    </w:p>
    <w:p>
      <w:pPr>
        <w:framePr w:w="1085" w:x="2009" w:y="9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开发支出</w:t>
      </w:r>
    </w:p>
    <w:p>
      <w:pPr>
        <w:framePr w:w="662" w:x="2009" w:y="10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商誉</w:t>
      </w:r>
    </w:p>
    <w:p>
      <w:pPr>
        <w:framePr w:w="1923" w:x="2009" w:y="10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w:t>
      </w:r>
    </w:p>
    <w:p>
      <w:pPr>
        <w:framePr w:w="1923" w:x="2009" w:y="103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w:t>
      </w:r>
    </w:p>
    <w:p>
      <w:pPr>
        <w:framePr w:w="1923" w:x="2009" w:y="103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其他非流动资产</w:t>
      </w:r>
    </w:p>
    <w:p>
      <w:pPr>
        <w:framePr w:w="1923" w:x="2009" w:y="10302"/>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非流动资产合计</w:t>
      </w:r>
    </w:p>
    <w:p>
      <w:pPr>
        <w:framePr w:w="1923" w:x="2009" w:y="10302"/>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资产总计</w:t>
      </w:r>
    </w:p>
    <w:p>
      <w:pPr>
        <w:framePr w:w="1507" w:x="5358" w:y="105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4,491,824.02</w:t>
      </w:r>
    </w:p>
    <w:p>
      <w:pPr>
        <w:framePr w:w="1507" w:x="5358" w:y="10582"/>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222,495.12</w:t>
      </w:r>
    </w:p>
    <w:p>
      <w:pPr>
        <w:framePr w:w="1507" w:x="7254" w:y="105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4,491,824.02</w:t>
      </w:r>
    </w:p>
    <w:p>
      <w:pPr>
        <w:framePr w:w="1507" w:x="7254" w:y="10582"/>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222,495.12</w:t>
      </w:r>
    </w:p>
    <w:p>
      <w:pPr>
        <w:framePr w:w="1718" w:x="5147" w:y="111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500,613,674.12</w:t>
      </w:r>
    </w:p>
    <w:p>
      <w:pPr>
        <w:framePr w:w="1718" w:x="7043" w:y="111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500,613,674.12</w:t>
      </w:r>
    </w:p>
    <w:p>
      <w:pPr>
        <w:framePr w:w="3819" w:x="4938" w:y="114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1,577,122,340.16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1,577,122,340.16</w:t>
      </w:r>
    </w:p>
    <w:p>
      <w:pPr>
        <w:framePr w:w="1296" w:x="1798" w:y="11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流动负债：</w:t>
      </w:r>
    </w:p>
    <w:p>
      <w:pPr>
        <w:framePr w:w="1296" w:x="1798" w:y="11713"/>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w:t>
      </w:r>
    </w:p>
    <w:p>
      <w:pPr>
        <w:framePr w:w="1718" w:x="2009" w:y="122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718" w:x="2009" w:y="122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718" w:x="2009" w:y="122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应付票据</w:t>
      </w:r>
    </w:p>
    <w:p>
      <w:pPr>
        <w:framePr w:w="1507" w:x="5358" w:y="122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507" w:x="7254" w:y="122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718" w:x="5147" w:y="128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130,000,000.00</w:t>
      </w:r>
    </w:p>
    <w:p>
      <w:pPr>
        <w:framePr w:w="1718" w:x="5147" w:y="1284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38,659,641.44</w:t>
      </w:r>
    </w:p>
    <w:p>
      <w:pPr>
        <w:framePr w:w="1718" w:x="5147" w:y="1284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718" w:x="7043" w:y="128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130,000,000.00</w:t>
      </w:r>
    </w:p>
    <w:p>
      <w:pPr>
        <w:framePr w:w="1718" w:x="7043" w:y="1284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38,659,641.44</w:t>
      </w:r>
    </w:p>
    <w:p>
      <w:pPr>
        <w:framePr w:w="1085" w:x="2009" w:y="1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085" w:x="2009" w:y="134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预收款项</w:t>
      </w:r>
    </w:p>
    <w:p>
      <w:pPr>
        <w:framePr w:w="1718" w:x="9160" w:y="134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718" w:x="9160" w:y="1340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085" w:x="2009" w:y="136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合同负债</w:t>
      </w:r>
    </w:p>
    <w:p>
      <w:pPr>
        <w:framePr w:w="1613" w:x="7149" w:y="136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35,812,891.19</w:t>
      </w:r>
    </w:p>
    <w:p>
      <w:pPr>
        <w:framePr w:w="1613" w:x="7149" w:y="136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12,887,462.16</w:t>
      </w:r>
    </w:p>
    <w:p>
      <w:pPr>
        <w:framePr w:w="1613" w:x="7149" w:y="136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1,698,987.96</w:t>
      </w:r>
    </w:p>
    <w:p>
      <w:pPr>
        <w:framePr w:w="1613" w:x="7149" w:y="1368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3,510,724.59</w:t>
      </w:r>
    </w:p>
    <w:p>
      <w:pPr>
        <w:framePr w:w="1507" w:x="2009" w:y="13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应付职工薪酬</w:t>
      </w:r>
    </w:p>
    <w:p>
      <w:pPr>
        <w:framePr w:w="1507" w:x="2009" w:y="1397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应交税费</w:t>
      </w:r>
    </w:p>
    <w:p>
      <w:pPr>
        <w:framePr w:w="1613" w:x="5252" w:y="139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12,887,462.16</w:t>
      </w:r>
    </w:p>
    <w:p>
      <w:pPr>
        <w:framePr w:w="1613" w:x="5252" w:y="1397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1,698,987.96</w:t>
      </w:r>
    </w:p>
    <w:p>
      <w:pPr>
        <w:framePr w:w="1613" w:x="5252" w:y="1397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3,510,724.59</w:t>
      </w:r>
    </w:p>
    <w:p>
      <w:pPr>
        <w:framePr w:w="1718" w:x="2009" w:y="145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718" w:x="2009" w:y="1453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其中：应付利息</w:t>
      </w:r>
    </w:p>
    <w:p>
      <w:pPr>
        <w:framePr w:w="1718" w:x="2009" w:y="14536"/>
        <w:widowControl w:val="0"/>
        <w:autoSpaceDE w:val="0"/>
        <w:autoSpaceDN w:val="0"/>
        <w:spacing w:before="70"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3" type="#_x0000_t75" style="width:445.6pt;height:2.7pt;margin-top:53.65pt;margin-left:87.45pt;mso-position-horizontal-relative:page;mso-position-vertical-relative:page;position:absolute;z-index:-251459584">
            <v:imagedata r:id="rId121" o:title=""/>
          </v:shape>
        </w:pict>
      </w:r>
      <w:r>
        <w:rPr>
          <w:noProof/>
        </w:rPr>
        <w:pict>
          <v:shape id="_x0000_s1184" type="#_x0000_t75" style="width:454.95pt;height:694.4pt;margin-top:74.3pt;margin-left:83.25pt;mso-position-horizontal-relative:page;mso-position-vertical-relative:page;position:absolute;z-index:-251569152">
            <v:imagedata r:id="rId122" o:title=""/>
          </v:shape>
        </w:pict>
      </w:r>
    </w:p>
    <w:p>
      <w:pPr>
        <w:spacing w:line="0" w:lineRule="atLeast"/>
        <w:rPr>
          <w:rFonts w:ascii="Arial" w:eastAsiaTheme="minorEastAsia" w:hAnsiTheme="minorHAnsi" w:cstheme="minorBidi"/>
          <w:color w:val="FF0000"/>
          <w:sz w:val="2"/>
          <w:szCs w:val="22"/>
          <w:lang w:val="en-US" w:eastAsia="en-US" w:bidi="ar-SA"/>
        </w:rPr>
      </w:pPr>
      <w:bookmarkStart w:id="88" w:name="br1_87"/>
      <w:bookmarkEnd w:id="8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765" w:x="1798" w:y="1547"/>
        <w:widowControl w:val="0"/>
        <w:autoSpaceDE w:val="0"/>
        <w:autoSpaceDN w:val="0"/>
        <w:spacing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持有待售负债</w:t>
      </w:r>
    </w:p>
    <w:p>
      <w:pPr>
        <w:framePr w:w="2765" w:x="1798" w:y="1547"/>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一年内到期的非流动负债</w:t>
      </w:r>
    </w:p>
    <w:p>
      <w:pPr>
        <w:framePr w:w="2765" w:x="1798"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其他流动负债</w:t>
      </w:r>
    </w:p>
    <w:p>
      <w:pPr>
        <w:framePr w:w="2765" w:x="1798" w:y="1547"/>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流动负债合计</w:t>
      </w:r>
    </w:p>
    <w:p>
      <w:pPr>
        <w:framePr w:w="2765"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非流动负债：</w:t>
      </w:r>
    </w:p>
    <w:p>
      <w:pPr>
        <w:framePr w:w="2765" w:x="1798" w:y="1547"/>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718" w:x="5147"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225,866,977.94</w:t>
      </w:r>
    </w:p>
    <w:p>
      <w:pPr>
        <w:framePr w:w="1718" w:x="7043"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225,866,977.94</w:t>
      </w:r>
    </w:p>
    <w:p>
      <w:pPr>
        <w:framePr w:w="1085" w:x="2009" w:y="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应付债券</w:t>
      </w:r>
    </w:p>
    <w:p>
      <w:pPr>
        <w:framePr w:w="1507" w:x="2009"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1507" w:x="2009" w:y="3523"/>
        <w:widowControl w:val="0"/>
        <w:autoSpaceDE w:val="0"/>
        <w:autoSpaceDN w:val="0"/>
        <w:spacing w:before="72" w:line="211" w:lineRule="exact"/>
        <w:ind w:left="6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085" w:x="2009" w:y="40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租赁负债</w:t>
      </w:r>
    </w:p>
    <w:p>
      <w:pPr>
        <w:framePr w:w="1296" w:x="2009" w:y="43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930" w:x="2009"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长期应付职工薪酬</w:t>
      </w:r>
    </w:p>
    <w:p>
      <w:pPr>
        <w:framePr w:w="1930" w:x="2009" w:y="46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1296" w:x="5567"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511,059.01</w:t>
      </w:r>
    </w:p>
    <w:p>
      <w:pPr>
        <w:framePr w:w="1296" w:x="5567" w:y="4934"/>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569,030.11</w:t>
      </w:r>
    </w:p>
    <w:p>
      <w:pPr>
        <w:framePr w:w="1296" w:x="5567" w:y="493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296" w:x="7463" w:y="49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511,059.01</w:t>
      </w:r>
    </w:p>
    <w:p>
      <w:pPr>
        <w:framePr w:w="1296" w:x="7463" w:y="4934"/>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569,030.11</w:t>
      </w:r>
    </w:p>
    <w:p>
      <w:pPr>
        <w:framePr w:w="1296" w:x="7463" w:y="493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87,635.82</w:t>
      </w:r>
    </w:p>
    <w:p>
      <w:pPr>
        <w:framePr w:w="1085" w:x="2009" w:y="5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w:t>
      </w:r>
    </w:p>
    <w:p>
      <w:pPr>
        <w:framePr w:w="1923" w:x="2009" w:y="5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w:t>
      </w:r>
    </w:p>
    <w:p>
      <w:pPr>
        <w:framePr w:w="1923" w:x="2009" w:y="55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其他非流动负债</w:t>
      </w:r>
    </w:p>
    <w:p>
      <w:pPr>
        <w:framePr w:w="1923" w:x="2009" w:y="5501"/>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非流动负债合计</w:t>
      </w:r>
    </w:p>
    <w:p>
      <w:pPr>
        <w:framePr w:w="1923" w:x="2009" w:y="5501"/>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负债合计</w:t>
      </w:r>
    </w:p>
    <w:p>
      <w:pPr>
        <w:framePr w:w="1507" w:x="5358" w:y="60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1,167,724.94</w:t>
      </w:r>
    </w:p>
    <w:p>
      <w:pPr>
        <w:framePr w:w="1507" w:x="7254" w:y="60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1,167,724.94</w:t>
      </w:r>
    </w:p>
    <w:p>
      <w:pPr>
        <w:framePr w:w="1718" w:x="5147" w:y="6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227,034,702.88</w:t>
      </w:r>
    </w:p>
    <w:p>
      <w:pPr>
        <w:framePr w:w="1718" w:x="7043" w:y="6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227,034,702.88</w:t>
      </w:r>
    </w:p>
    <w:p>
      <w:pPr>
        <w:framePr w:w="2986" w:x="1798" w:y="6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所有者权益（或股东权益）：</w:t>
      </w:r>
    </w:p>
    <w:p>
      <w:pPr>
        <w:framePr w:w="2986" w:x="1798" w:y="662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实收资本（或股本）</w:t>
      </w:r>
    </w:p>
    <w:p>
      <w:pPr>
        <w:framePr w:w="2986" w:x="1798" w:y="6629"/>
        <w:widowControl w:val="0"/>
        <w:autoSpaceDE w:val="0"/>
        <w:autoSpaceDN w:val="0"/>
        <w:spacing w:before="7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w:t>
      </w:r>
    </w:p>
    <w:p>
      <w:pPr>
        <w:framePr w:w="2986" w:x="1798" w:y="6629"/>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其中：优先股</w:t>
      </w:r>
    </w:p>
    <w:p>
      <w:pPr>
        <w:framePr w:w="2986" w:x="1798" w:y="6629"/>
        <w:widowControl w:val="0"/>
        <w:autoSpaceDE w:val="0"/>
        <w:autoSpaceDN w:val="0"/>
        <w:spacing w:before="72" w:line="211" w:lineRule="exact"/>
        <w:ind w:left="8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永续债</w:t>
      </w:r>
    </w:p>
    <w:p>
      <w:pPr>
        <w:framePr w:w="1718" w:x="5147"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5147" w:y="6912"/>
        <w:widowControl w:val="0"/>
        <w:autoSpaceDE w:val="0"/>
        <w:autoSpaceDN w:val="0"/>
        <w:spacing w:before="91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448,515,471.88</w:t>
      </w:r>
    </w:p>
    <w:p>
      <w:pPr>
        <w:framePr w:w="1718" w:x="7043" w:y="69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112,000,000.00</w:t>
      </w:r>
    </w:p>
    <w:p>
      <w:pPr>
        <w:framePr w:w="1718" w:x="7043" w:y="6912"/>
        <w:widowControl w:val="0"/>
        <w:autoSpaceDE w:val="0"/>
        <w:autoSpaceDN w:val="0"/>
        <w:spacing w:before="91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448,515,471.88</w:t>
      </w:r>
    </w:p>
    <w:p>
      <w:pPr>
        <w:framePr w:w="1085" w:x="2009" w:y="8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资本公积</w:t>
      </w:r>
    </w:p>
    <w:p>
      <w:pPr>
        <w:framePr w:w="1296" w:x="2009" w:y="8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减：库存股</w:t>
      </w:r>
    </w:p>
    <w:p>
      <w:pPr>
        <w:framePr w:w="1507" w:x="2009" w:y="8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其他综合收益</w:t>
      </w:r>
    </w:p>
    <w:p>
      <w:pPr>
        <w:framePr w:w="1507" w:x="2009" w:y="86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718" w:x="5147" w:y="888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31,262,063.52</w:t>
      </w:r>
    </w:p>
    <w:p>
      <w:pPr>
        <w:framePr w:w="1718" w:x="5147" w:y="88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718" w:x="5147" w:y="88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702,310,101.88</w:t>
      </w:r>
    </w:p>
    <w:p>
      <w:pPr>
        <w:framePr w:w="1718" w:x="7043" w:y="888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31,262,063.52</w:t>
      </w:r>
    </w:p>
    <w:p>
      <w:pPr>
        <w:framePr w:w="1718" w:x="7043" w:y="888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56,000,000.00</w:t>
      </w:r>
    </w:p>
    <w:p>
      <w:pPr>
        <w:framePr w:w="1718" w:x="7043" w:y="88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702,310,101.88</w:t>
      </w:r>
    </w:p>
    <w:p>
      <w:pPr>
        <w:framePr w:w="1085" w:x="2009" w:y="91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w:t>
      </w:r>
    </w:p>
    <w:p>
      <w:pPr>
        <w:framePr w:w="1296" w:x="2009" w:y="94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未分配利润</w:t>
      </w:r>
    </w:p>
    <w:p>
      <w:pPr>
        <w:framePr w:w="6539" w:x="2218" w:y="97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所有者权益（或股东权益）</w:t>
      </w:r>
      <w:r>
        <w:rPr>
          <w:rFonts w:eastAsiaTheme="minorEastAsia" w:hAnsiTheme="minorHAnsi" w:cstheme="minorBidi"/>
          <w:color w:val="000000"/>
          <w:spacing w:val="1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1,350,087,637.28</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1,350,087,637.28</w:t>
      </w:r>
    </w:p>
    <w:p>
      <w:pPr>
        <w:framePr w:w="662" w:x="1798" w:y="100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6328" w:x="2429" w:y="102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负债和所有者权益（或股</w:t>
      </w:r>
      <w:r>
        <w:rPr>
          <w:rFonts w:eastAsiaTheme="minorEastAsia" w:hAnsiTheme="minorHAnsi" w:cstheme="minorBidi"/>
          <w:color w:val="000000"/>
          <w:spacing w:val="24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1,577,122,340.16</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1,577,122,340.16</w:t>
      </w:r>
    </w:p>
    <w:p>
      <w:pPr>
        <w:framePr w:w="1507" w:x="1798" w:y="10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东权益）总计</w:t>
      </w:r>
    </w:p>
    <w:p>
      <w:pPr>
        <w:framePr w:w="2563" w:x="1798" w:y="111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各项目调整情况的说明：</w:t>
      </w:r>
    </w:p>
    <w:p>
      <w:pPr>
        <w:framePr w:w="2563" w:x="1798" w:y="1111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544" w:x="1798" w:y="11974"/>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Cambria" w:eastAsiaTheme="minorEastAsia" w:hAnsiTheme="minorHAnsi" w:cstheme="minorBidi"/>
          <w:b/>
          <w:color w:val="000000"/>
          <w:sz w:val="21"/>
          <w:szCs w:val="22"/>
          <w:lang w:val="en-US" w:eastAsia="en-US" w:bidi="ar-SA"/>
        </w:rPr>
        <w:t>2020</w:t>
      </w:r>
      <w:r>
        <w:rPr>
          <w:rFonts w:ascii="Cambria" w:eastAsiaTheme="minorEastAsia" w:hAnsiTheme="minorHAnsi" w:cstheme="minorBidi"/>
          <w:b/>
          <w:color w:val="000000"/>
          <w:spacing w:val="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年起首次执行新收入准则、新租赁准则追溯调整前期比较数据的说明</w:t>
      </w:r>
    </w:p>
    <w:p>
      <w:pPr>
        <w:framePr w:w="1817" w:x="1798" w:y="12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1291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z w:val="21"/>
          <w:szCs w:val="22"/>
          <w:lang w:val="en-US" w:eastAsia="en-US" w:bidi="ar-SA"/>
        </w:rPr>
        <w:t>45.</w:t>
      </w:r>
      <w:r>
        <w:rPr>
          <w:rFonts w:ascii="Calibri" w:eastAsiaTheme="minorEastAsia" w:hAnsiTheme="minorHAnsi" w:cstheme="minorBidi"/>
          <w:b/>
          <w:color w:val="000000"/>
          <w:spacing w:val="1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132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13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六、税项</w:t>
      </w:r>
    </w:p>
    <w:p>
      <w:pPr>
        <w:framePr w:w="2143" w:x="1798" w:y="14183"/>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1.</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主要税种及税率</w:t>
      </w:r>
    </w:p>
    <w:p>
      <w:pPr>
        <w:framePr w:w="2141" w:x="1798" w:y="145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主要税种及税率情况</w:t>
      </w:r>
    </w:p>
    <w:p>
      <w:pPr>
        <w:framePr w:w="2141" w:x="1798" w:y="1453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62" w:x="2223" w:y="15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税种</w:t>
      </w:r>
    </w:p>
    <w:p>
      <w:pPr>
        <w:framePr w:w="1085" w:x="5415" w:y="15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计税依据</w:t>
      </w:r>
    </w:p>
    <w:p>
      <w:pPr>
        <w:framePr w:w="662" w:x="9319" w:y="15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税率</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89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5" type="#_x0000_t75" style="width:445.6pt;height:2.7pt;margin-top:53.65pt;margin-left:87.45pt;mso-position-horizontal-relative:page;mso-position-vertical-relative:page;position:absolute;z-index:-251383808">
            <v:imagedata r:id="rId123" o:title=""/>
          </v:shape>
        </w:pict>
      </w:r>
      <w:r>
        <w:rPr>
          <w:noProof/>
        </w:rPr>
        <w:pict>
          <v:shape id="_x0000_s1186" type="#_x0000_t75" style="width:454.95pt;height:467.45pt;margin-top:74.3pt;margin-left:83.25pt;mso-position-horizontal-relative:page;mso-position-vertical-relative:page;position:absolute;z-index:-251458560">
            <v:imagedata r:id="rId124" o:title=""/>
          </v:shape>
        </w:pict>
      </w:r>
      <w:r>
        <w:rPr>
          <w:noProof/>
        </w:rPr>
        <w:pict>
          <v:shape id="_x0000_s1187" type="#_x0000_t75" style="width:463.7pt;height:16.65pt;margin-top:751.4pt;margin-left:74.5pt;mso-position-horizontal-relative:page;mso-position-vertical-relative:page;position:absolute;z-index:-251568128">
            <v:imagedata r:id="rId125" o:title=""/>
          </v:shape>
        </w:pict>
      </w:r>
    </w:p>
    <w:p>
      <w:pPr>
        <w:spacing w:line="0" w:lineRule="atLeast"/>
        <w:rPr>
          <w:rFonts w:ascii="Arial" w:eastAsiaTheme="minorEastAsia" w:hAnsiTheme="minorHAnsi" w:cstheme="minorBidi"/>
          <w:color w:val="FF0000"/>
          <w:sz w:val="2"/>
          <w:szCs w:val="22"/>
          <w:lang w:val="en-US" w:eastAsia="en-US" w:bidi="ar-SA"/>
        </w:rPr>
      </w:pPr>
      <w:bookmarkStart w:id="89" w:name="br1_88"/>
      <w:bookmarkEnd w:id="8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874" w:x="1620"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增值税</w:t>
      </w:r>
    </w:p>
    <w:p>
      <w:pPr>
        <w:framePr w:w="7410" w:x="3464"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销售货物、应税销售服务收入、无形资产或者不动产</w:t>
      </w:r>
      <w:r>
        <w:rPr>
          <w:rFonts w:eastAsiaTheme="minorEastAsia" w:hAnsiTheme="minorHAnsi" w:cstheme="minorBidi"/>
          <w:color w:val="000000"/>
          <w:spacing w:val="16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13%</w:t>
      </w:r>
      <w:r>
        <w:rPr>
          <w:rFonts w:ascii="SimSun" w:hAnsi="SimSun" w:eastAsiaTheme="minorEastAsia" w:cs="SimSun"/>
          <w:color w:val="000000"/>
          <w:spacing w:val="-25"/>
          <w:sz w:val="21"/>
          <w:szCs w:val="22"/>
          <w:lang w:val="en-US" w:eastAsia="en-US" w:bidi="ar-SA"/>
        </w:rPr>
        <w:t>、</w:t>
      </w:r>
      <w:r>
        <w:rPr>
          <w:rFonts w:ascii="SimSun" w:eastAsiaTheme="minorEastAsia" w:hAnsiTheme="minorHAnsi" w:cstheme="minorBidi"/>
          <w:color w:val="000000"/>
          <w:sz w:val="21"/>
          <w:szCs w:val="22"/>
          <w:lang w:val="en-US" w:eastAsia="en-US" w:bidi="ar-SA"/>
        </w:rPr>
        <w:t>9%</w:t>
      </w:r>
      <w:r>
        <w:rPr>
          <w:rFonts w:ascii="SimSun" w:hAnsi="SimSun" w:eastAsiaTheme="minorEastAsia" w:cs="SimSun"/>
          <w:color w:val="000000"/>
          <w:spacing w:val="-25"/>
          <w:sz w:val="21"/>
          <w:szCs w:val="22"/>
          <w:lang w:val="en-US" w:eastAsia="en-US" w:bidi="ar-SA"/>
        </w:rPr>
        <w:t>、</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25"/>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25"/>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注</w:t>
      </w:r>
    </w:p>
    <w:p>
      <w:pPr>
        <w:framePr w:w="874" w:x="1620"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消费税</w:t>
      </w:r>
    </w:p>
    <w:p>
      <w:pPr>
        <w:framePr w:w="874" w:x="1620"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营业税</w:t>
      </w:r>
    </w:p>
    <w:p>
      <w:pPr>
        <w:framePr w:w="1718" w:x="1620"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城市维护建设税</w:t>
      </w:r>
    </w:p>
    <w:p>
      <w:pPr>
        <w:framePr w:w="1718" w:x="1620"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企业所得税</w:t>
      </w:r>
    </w:p>
    <w:p>
      <w:pPr>
        <w:framePr w:w="1718" w:x="1620" w:y="23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教育费附加</w:t>
      </w:r>
    </w:p>
    <w:p>
      <w:pPr>
        <w:framePr w:w="1718" w:x="1620"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地方教育费附加</w:t>
      </w:r>
    </w:p>
    <w:p>
      <w:pPr>
        <w:framePr w:w="2141" w:x="3464"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实缴流转税税额</w:t>
      </w:r>
    </w:p>
    <w:p>
      <w:pPr>
        <w:framePr w:w="2141" w:x="3464"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按应纳税所得额计算</w:t>
      </w:r>
    </w:p>
    <w:p>
      <w:pPr>
        <w:framePr w:w="2141" w:x="3464" w:y="23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实缴流转税税额</w:t>
      </w:r>
    </w:p>
    <w:p>
      <w:pPr>
        <w:framePr w:w="2141" w:x="3464"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实缴流转税税额</w:t>
      </w:r>
    </w:p>
    <w:p>
      <w:pPr>
        <w:framePr w:w="874" w:x="8425" w:y="23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5%</w:t>
      </w:r>
    </w:p>
    <w:p>
      <w:pPr>
        <w:framePr w:w="1613" w:x="8425"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z w:val="21"/>
          <w:szCs w:val="22"/>
          <w:lang w:val="en-US" w:eastAsia="en-US" w:bidi="ar-SA"/>
        </w:rPr>
        <w:t>20%</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15%</w:t>
      </w:r>
    </w:p>
    <w:p>
      <w:pPr>
        <w:framePr w:w="1613" w:x="8425" w:y="26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p>
    <w:p>
      <w:pPr>
        <w:framePr w:w="874" w:x="8425"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p>
    <w:p>
      <w:pPr>
        <w:framePr w:w="9179" w:x="1798" w:y="364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注：本公司原药、制剂产品增值税税率为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，中间体增值税税率为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w:t>
      </w:r>
      <w:r>
        <w:rPr>
          <w:rFonts w:ascii="SimSun" w:hAnsi="SimSun" w:eastAsiaTheme="minorEastAsia" w:cs="SimSun"/>
          <w:color w:val="000000"/>
          <w:spacing w:val="1"/>
          <w:sz w:val="21"/>
          <w:szCs w:val="22"/>
          <w:lang w:val="en-US" w:eastAsia="en-US" w:bidi="ar-SA"/>
        </w:rPr>
        <w:t>出口产品执行“免、</w:t>
      </w:r>
    </w:p>
    <w:p>
      <w:pPr>
        <w:framePr w:w="9179" w:x="1798" w:y="364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抵、退”税政策；本公司城市维护建设税为</w:t>
      </w:r>
      <w:r>
        <w:rPr>
          <w:rFonts w:eastAsiaTheme="minorEastAsia" w:hAnsiTheme="minorHAnsi" w:cstheme="minorBidi"/>
          <w:color w:val="000000"/>
          <w:spacing w:val="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pacing w:val="-2"/>
          <w:sz w:val="21"/>
          <w:szCs w:val="22"/>
          <w:lang w:val="en-US" w:eastAsia="en-US" w:bidi="ar-SA"/>
        </w:rPr>
        <w:t>，潍坊先达城市维护建设税为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pacing w:val="-3"/>
          <w:sz w:val="21"/>
          <w:szCs w:val="22"/>
          <w:lang w:val="en-US" w:eastAsia="en-US" w:bidi="ar-SA"/>
        </w:rPr>
        <w:t>，济南先达城市维</w:t>
      </w:r>
    </w:p>
    <w:p>
      <w:pPr>
        <w:framePr w:w="9179" w:x="1798" w:y="364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护建设税为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p>
    <w:p>
      <w:pPr>
        <w:framePr w:w="5098" w:x="1798" w:y="4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存在不同企业所得税税率纳税主体的，披露情况说明</w:t>
      </w:r>
    </w:p>
    <w:p>
      <w:pPr>
        <w:framePr w:w="1817" w:x="1798" w:y="4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3360" w:y="5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纳税主体名称</w:t>
      </w:r>
    </w:p>
    <w:p>
      <w:pPr>
        <w:framePr w:w="1824" w:x="7727" w:y="5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所得税税率（</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507" w:x="1798" w:y="5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山东先达</w:t>
      </w:r>
    </w:p>
    <w:p>
      <w:pPr>
        <w:framePr w:w="1507" w:x="1798" w:y="543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507" w:x="1798" w:y="543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507" w:x="1798" w:y="543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1798" w:y="543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1798" w:y="543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507" w:x="1798" w:y="543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507" w:x="1798" w:y="543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557" w:x="10317" w:y="54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p>
    <w:p>
      <w:pPr>
        <w:framePr w:w="557" w:x="10317" w:y="54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p>
    <w:p>
      <w:pPr>
        <w:framePr w:w="557" w:x="10317" w:y="54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p>
    <w:p>
      <w:pPr>
        <w:framePr w:w="557" w:x="10317" w:y="5439"/>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p>
    <w:p>
      <w:pPr>
        <w:framePr w:w="557" w:x="10317" w:y="54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557" w:x="10317" w:y="54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557" w:x="10317" w:y="5439"/>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557" w:x="10317" w:y="54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p>
    <w:p>
      <w:pPr>
        <w:framePr w:w="1510" w:x="1798" w:y="8045"/>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2"/>
          <w:sz w:val="21"/>
          <w:szCs w:val="22"/>
          <w:lang w:val="en-US" w:eastAsia="en-US" w:bidi="ar-SA"/>
        </w:rPr>
        <w:t>2.</w:t>
      </w:r>
      <w:r>
        <w:rPr>
          <w:rFonts w:ascii="Calibri" w:eastAsiaTheme="minorEastAsia" w:hAnsiTheme="minorHAnsi" w:cstheme="minorBidi"/>
          <w:b/>
          <w:color w:val="000000"/>
          <w:spacing w:val="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税收优惠</w:t>
      </w:r>
    </w:p>
    <w:p>
      <w:pPr>
        <w:framePr w:w="1817" w:x="1798" w:y="8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15" w:x="1798" w:y="86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w:t>
      </w:r>
      <w:r>
        <w:rPr>
          <w:rFonts w:ascii="SimSun" w:hAnsi="SimSun" w:eastAsiaTheme="minorEastAsia" w:cs="SimSun"/>
          <w:color w:val="000000"/>
          <w:sz w:val="21"/>
          <w:szCs w:val="22"/>
          <w:lang w:val="en-US" w:eastAsia="en-US" w:bidi="ar-SA"/>
        </w:rPr>
        <w:t>日，本公司被山东省认定机构办公室认定为通过复审的高新技术企业，有效</w:t>
      </w:r>
    </w:p>
    <w:p>
      <w:pPr>
        <w:framePr w:w="9015" w:x="1798" w:y="8669"/>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期至</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2021</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8</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w:t>
      </w:r>
      <w:r>
        <w:rPr>
          <w:rFonts w:ascii="SimSun" w:hAnsi="SimSun" w:eastAsiaTheme="minorEastAsia" w:cs="SimSun"/>
          <w:color w:val="000000"/>
          <w:sz w:val="21"/>
          <w:szCs w:val="22"/>
          <w:lang w:val="en-US" w:eastAsia="en-US" w:bidi="ar-SA"/>
        </w:rPr>
        <w:t>日，证书编号：</w:t>
      </w:r>
      <w:r>
        <w:rPr>
          <w:rFonts w:ascii="SimSun" w:eastAsiaTheme="minorEastAsia" w:hAnsiTheme="minorHAnsi" w:cstheme="minorBidi"/>
          <w:color w:val="000000"/>
          <w:sz w:val="21"/>
          <w:szCs w:val="22"/>
          <w:lang w:val="en-US" w:eastAsia="en-US" w:bidi="ar-SA"/>
        </w:rPr>
        <w:t>GR201837000132</w:t>
      </w:r>
      <w:r>
        <w:rPr>
          <w:rFonts w:ascii="SimSun" w:hAnsi="SimSun" w:eastAsiaTheme="minorEastAsia" w:cs="SimSun"/>
          <w:color w:val="000000"/>
          <w:sz w:val="21"/>
          <w:szCs w:val="22"/>
          <w:lang w:val="en-US" w:eastAsia="en-US" w:bidi="ar-SA"/>
        </w:rPr>
        <w:t>。根据企业所得税法规定，本公司自</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2018</w:t>
      </w:r>
    </w:p>
    <w:p>
      <w:pPr>
        <w:framePr w:w="9015" w:x="1798" w:y="866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年减按</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z w:val="21"/>
          <w:szCs w:val="22"/>
          <w:lang w:val="en-US" w:eastAsia="en-US" w:bidi="ar-SA"/>
        </w:rPr>
        <w:t>的所得税税率征税的优惠，优惠期至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日止。</w:t>
      </w:r>
    </w:p>
    <w:p>
      <w:pPr>
        <w:framePr w:w="9078" w:x="1798" w:y="98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28</w:t>
      </w:r>
      <w:r>
        <w:rPr>
          <w:rFonts w:ascii="SimSun" w:hAnsi="SimSun" w:eastAsiaTheme="minorEastAsia" w:cs="SimSun"/>
          <w:color w:val="000000"/>
          <w:spacing w:val="-1"/>
          <w:sz w:val="21"/>
          <w:szCs w:val="22"/>
          <w:lang w:val="en-US" w:eastAsia="en-US" w:bidi="ar-SA"/>
        </w:rPr>
        <w:t>日，潍坊先达被山东省认定机构办公室认定为通过复审的高新技术企业，有</w:t>
      </w:r>
    </w:p>
    <w:p>
      <w:pPr>
        <w:framePr w:w="9078" w:x="1798" w:y="98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效期至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w:t>
      </w:r>
      <w:r>
        <w:rPr>
          <w:rFonts w:ascii="SimSun" w:hAnsi="SimSun" w:eastAsiaTheme="minorEastAsia" w:cs="SimSun"/>
          <w:color w:val="000000"/>
          <w:sz w:val="21"/>
          <w:szCs w:val="22"/>
          <w:lang w:val="en-US" w:eastAsia="en-US" w:bidi="ar-SA"/>
        </w:rPr>
        <w:t>日，证书编号：</w:t>
      </w:r>
      <w:r>
        <w:rPr>
          <w:rFonts w:ascii="SimSun" w:eastAsiaTheme="minorEastAsia" w:hAnsiTheme="minorHAnsi" w:cstheme="minorBidi"/>
          <w:color w:val="000000"/>
          <w:sz w:val="21"/>
          <w:szCs w:val="22"/>
          <w:lang w:val="en-US" w:eastAsia="en-US" w:bidi="ar-SA"/>
        </w:rPr>
        <w:t>GR201737000326</w:t>
      </w:r>
      <w:r>
        <w:rPr>
          <w:rFonts w:ascii="SimSun" w:hAnsi="SimSun" w:eastAsiaTheme="minorEastAsia" w:cs="SimSun"/>
          <w:color w:val="000000"/>
          <w:sz w:val="21"/>
          <w:szCs w:val="22"/>
          <w:lang w:val="en-US" w:eastAsia="en-US" w:bidi="ar-SA"/>
        </w:rPr>
        <w:t>。根据企业所得税法规定，自</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pacing w:val="-1"/>
          <w:sz w:val="21"/>
          <w:szCs w:val="22"/>
          <w:lang w:val="en-US" w:eastAsia="en-US" w:bidi="ar-SA"/>
        </w:rPr>
        <w:t>年减</w:t>
      </w:r>
    </w:p>
    <w:p>
      <w:pPr>
        <w:framePr w:w="9078" w:x="1798" w:y="98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w:t>
      </w:r>
      <w:r>
        <w:rPr>
          <w:rFonts w:ascii="SimSun" w:hAnsi="SimSun" w:eastAsiaTheme="minorEastAsia" w:cs="SimSun"/>
          <w:color w:val="000000"/>
          <w:sz w:val="21"/>
          <w:szCs w:val="22"/>
          <w:lang w:val="en-US" w:eastAsia="en-US" w:bidi="ar-SA"/>
        </w:rPr>
        <w:t>的所得税税率征税的优惠，优惠期至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w:t>
      </w:r>
      <w:r>
        <w:rPr>
          <w:rFonts w:ascii="SimSun" w:hAnsi="SimSun" w:eastAsiaTheme="minorEastAsia" w:cs="SimSun"/>
          <w:color w:val="000000"/>
          <w:sz w:val="21"/>
          <w:szCs w:val="22"/>
          <w:lang w:val="en-US" w:eastAsia="en-US" w:bidi="ar-SA"/>
        </w:rPr>
        <w:t>日止，高企重新认定正在办理中。</w:t>
      </w:r>
    </w:p>
    <w:p>
      <w:pPr>
        <w:framePr w:w="9078" w:x="1798" w:y="9896"/>
        <w:widowControl w:val="0"/>
        <w:autoSpaceDE w:val="0"/>
        <w:autoSpaceDN w:val="0"/>
        <w:spacing w:before="199"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济南先达依据财政部、国家税务总局《关于农业生产资料免征增值税政策的通知》（财税</w:t>
      </w:r>
    </w:p>
    <w:p>
      <w:pPr>
        <w:framePr w:w="9078" w:x="1798" w:y="98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[2011]113</w:t>
      </w:r>
      <w:r>
        <w:rPr>
          <w:rFonts w:ascii="SimSun" w:hAnsi="SimSun" w:eastAsiaTheme="minorEastAsia" w:cs="SimSun"/>
          <w:color w:val="000000"/>
          <w:sz w:val="21"/>
          <w:szCs w:val="22"/>
          <w:lang w:val="en-US" w:eastAsia="en-US" w:bidi="ar-SA"/>
        </w:rPr>
        <w:t>号）批发和零售的种子、种苗、化肥、农药、农机免征增值税，向山东省济南市高新</w:t>
      </w:r>
    </w:p>
    <w:p>
      <w:pPr>
        <w:framePr w:w="9078" w:x="1798" w:y="98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技术产业开发区国家税务局申请备案，减免幅度为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pacing w:val="-23"/>
          <w:sz w:val="21"/>
          <w:szCs w:val="22"/>
          <w:lang w:val="en-US" w:eastAsia="en-US" w:bidi="ar-SA"/>
        </w:rPr>
        <w:t>，</w:t>
      </w:r>
      <w:r>
        <w:rPr>
          <w:rFonts w:ascii="SimSun" w:eastAsiaTheme="minorEastAsia" w:hAnsiTheme="minorHAnsi" w:cstheme="minorBidi"/>
          <w:color w:val="000000"/>
          <w:sz w:val="21"/>
          <w:szCs w:val="22"/>
          <w:lang w:val="en-US" w:eastAsia="en-US" w:bidi="ar-SA"/>
        </w:rPr>
        <w:t>2017</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9</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4"/>
          <w:sz w:val="21"/>
          <w:szCs w:val="22"/>
          <w:lang w:val="en-US" w:eastAsia="en-US" w:bidi="ar-SA"/>
        </w:rPr>
        <w:t>日，经备案，减免期限至</w:t>
      </w:r>
    </w:p>
    <w:p>
      <w:pPr>
        <w:framePr w:w="9078" w:x="1798" w:y="989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2099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1"/>
          <w:sz w:val="21"/>
          <w:szCs w:val="22"/>
          <w:lang w:val="en-US" w:eastAsia="en-US" w:bidi="ar-SA"/>
        </w:rPr>
        <w:t>日。</w:t>
      </w:r>
    </w:p>
    <w:p>
      <w:pPr>
        <w:framePr w:w="9216" w:x="1798" w:y="12755"/>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根据《财政部国家税务总局关于实施小微企业普惠性税收减免政策的通知》</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7"/>
          <w:sz w:val="21"/>
          <w:szCs w:val="22"/>
          <w:lang w:val="en-US" w:eastAsia="en-US" w:bidi="ar-SA"/>
        </w:rPr>
        <w:t>财税〔</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pacing w:val="-23"/>
          <w:sz w:val="21"/>
          <w:szCs w:val="22"/>
          <w:lang w:val="en-US" w:eastAsia="en-US" w:bidi="ar-SA"/>
        </w:rPr>
        <w:t>〕</w:t>
      </w:r>
      <w:r>
        <w:rPr>
          <w:rFonts w:ascii="SimSun" w:eastAsiaTheme="minorEastAsia" w:hAnsiTheme="minorHAnsi" w:cstheme="minorBidi"/>
          <w:color w:val="000000"/>
          <w:spacing w:val="-2"/>
          <w:sz w:val="21"/>
          <w:szCs w:val="22"/>
          <w:lang w:val="en-US" w:eastAsia="en-US" w:bidi="ar-SA"/>
        </w:rPr>
        <w:t>13</w:t>
      </w:r>
    </w:p>
    <w:p>
      <w:pPr>
        <w:framePr w:w="9216" w:x="1798" w:y="1275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号</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5"/>
          <w:sz w:val="21"/>
          <w:szCs w:val="22"/>
          <w:lang w:val="en-US" w:eastAsia="en-US" w:bidi="ar-SA"/>
        </w:rPr>
        <w:t>规定：“对小型微利企业年应纳税所得额不超过</w:t>
      </w:r>
      <w:r>
        <w:rPr>
          <w:rFonts w:eastAsiaTheme="minorEastAsia" w:hAnsiTheme="minorHAnsi" w:cstheme="minorBidi"/>
          <w:color w:val="000000"/>
          <w:spacing w:val="-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pacing w:val="-13"/>
          <w:sz w:val="21"/>
          <w:szCs w:val="22"/>
          <w:lang w:val="en-US" w:eastAsia="en-US" w:bidi="ar-SA"/>
        </w:rPr>
        <w:t>万元的部分，减按</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w:t>
      </w:r>
      <w:r>
        <w:rPr>
          <w:rFonts w:ascii="SimSun" w:hAnsi="SimSun" w:eastAsiaTheme="minorEastAsia" w:cs="SimSun"/>
          <w:color w:val="000000"/>
          <w:sz w:val="21"/>
          <w:szCs w:val="22"/>
          <w:lang w:val="en-US" w:eastAsia="en-US" w:bidi="ar-SA"/>
        </w:rPr>
        <w:t>计入应纳税所得额，</w:t>
      </w:r>
    </w:p>
    <w:p>
      <w:pPr>
        <w:framePr w:w="9216" w:x="1798" w:y="12755"/>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w:t>
      </w:r>
      <w:r>
        <w:rPr>
          <w:rFonts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的税率缴纳企业所得税</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对年应纳税所得额超过</w:t>
      </w:r>
      <w:r>
        <w:rPr>
          <w:rFonts w:eastAsiaTheme="minorEastAsia" w:hAnsiTheme="minorHAnsi" w:cstheme="minorBidi"/>
          <w:color w:val="000000"/>
          <w:spacing w:val="-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w:t>
      </w:r>
      <w:r>
        <w:rPr>
          <w:rFonts w:ascii="SimSun" w:hAnsi="SimSun" w:eastAsiaTheme="minorEastAsia" w:cs="SimSun"/>
          <w:color w:val="000000"/>
          <w:sz w:val="21"/>
          <w:szCs w:val="22"/>
          <w:lang w:val="en-US" w:eastAsia="en-US" w:bidi="ar-SA"/>
        </w:rPr>
        <w:t>万元但不超过</w:t>
      </w:r>
      <w:r>
        <w:rPr>
          <w:rFonts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r>
        <w:rPr>
          <w:rFonts w:ascii="SimSun" w:hAnsi="SimSun" w:eastAsiaTheme="minorEastAsia" w:cs="SimSun"/>
          <w:color w:val="000000"/>
          <w:spacing w:val="-13"/>
          <w:sz w:val="21"/>
          <w:szCs w:val="22"/>
          <w:lang w:val="en-US" w:eastAsia="en-US" w:bidi="ar-SA"/>
        </w:rPr>
        <w:t>万元的部分，减按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w:t>
      </w:r>
    </w:p>
    <w:p>
      <w:pPr>
        <w:framePr w:w="9216" w:x="1798" w:y="127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计入应纳税所得额，按</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的税率缴纳企业所得税”。济南瑞斯邦、博兴县盛信达、沈阳万菱、</w:t>
      </w:r>
    </w:p>
    <w:p>
      <w:pPr>
        <w:framePr w:w="9216" w:x="1798" w:y="127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沈阳先达均符合小型微利企业税收优惠条件。</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88" type="#_x0000_t75" style="width:445.6pt;height:2.7pt;margin-top:53.65pt;margin-left:87.45pt;mso-position-horizontal-relative:page;mso-position-vertical-relative:page;position:absolute;z-index:-251382784">
            <v:imagedata r:id="rId126" o:title=""/>
          </v:shape>
        </w:pict>
      </w:r>
      <w:r>
        <w:rPr>
          <w:noProof/>
        </w:rPr>
        <w:pict>
          <v:shape id="_x0000_s1189" type="#_x0000_t75" style="width:463.7pt;height:101.4pt;margin-top:74.3pt;margin-left:74.5pt;mso-position-horizontal-relative:page;mso-position-vertical-relative:page;position:absolute;z-index:-251457536">
            <v:imagedata r:id="rId127" o:title=""/>
          </v:shape>
        </w:pict>
      </w:r>
      <w:r>
        <w:rPr>
          <w:noProof/>
        </w:rPr>
        <w:pict>
          <v:shape id="_x0000_s1190" type="#_x0000_t75" style="width:454.95pt;height:131.65pt;margin-top:254.55pt;margin-left:83.25pt;mso-position-horizontal-relative:page;mso-position-vertical-relative:page;position:absolute;z-index:-251567104">
            <v:imagedata r:id="rId128" o:title=""/>
          </v:shape>
        </w:pict>
      </w:r>
    </w:p>
    <w:p>
      <w:pPr>
        <w:spacing w:line="0" w:lineRule="atLeast"/>
        <w:rPr>
          <w:rFonts w:ascii="Arial" w:eastAsiaTheme="minorEastAsia" w:hAnsiTheme="minorHAnsi" w:cstheme="minorBidi"/>
          <w:color w:val="FF0000"/>
          <w:sz w:val="2"/>
          <w:szCs w:val="22"/>
          <w:lang w:val="en-US" w:eastAsia="en-US" w:bidi="ar-SA"/>
        </w:rPr>
      </w:pPr>
      <w:bookmarkStart w:id="90" w:name="br1_89"/>
      <w:bookmarkEnd w:id="9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七、合并财务报表项目注释</w:t>
      </w:r>
    </w:p>
    <w:p>
      <w:pPr>
        <w:framePr w:w="2774" w:x="1798" w:y="2474"/>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货币资金</w:t>
      </w:r>
    </w:p>
    <w:p>
      <w:pPr>
        <w:framePr w:w="1817" w:x="1798" w:y="31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410"/>
        <w:widowControl w:val="0"/>
        <w:autoSpaceDE w:val="0"/>
        <w:autoSpaceDN w:val="0"/>
        <w:spacing w:before="72" w:line="211" w:lineRule="exact"/>
        <w:ind w:left="23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37" w:x="1798" w:y="3693"/>
        <w:widowControl w:val="0"/>
        <w:autoSpaceDE w:val="0"/>
        <w:autoSpaceDN w:val="0"/>
        <w:spacing w:line="211" w:lineRule="exact"/>
        <w:ind w:left="12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37" w:x="1798" w:y="36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库存现金</w:t>
      </w:r>
    </w:p>
    <w:p>
      <w:pPr>
        <w:framePr w:w="1085" w:x="5622" w:y="36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90" w:x="6361" w:y="39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54,515.71</w:t>
      </w:r>
    </w:p>
    <w:p>
      <w:pPr>
        <w:framePr w:w="1190" w:x="9686" w:y="39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15,451.11</w:t>
      </w:r>
    </w:p>
    <w:p>
      <w:pPr>
        <w:framePr w:w="1085" w:x="1798" w:y="42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银行存款</w:t>
      </w:r>
    </w:p>
    <w:p>
      <w:pPr>
        <w:framePr w:w="1718" w:x="5835" w:y="42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144,012,747.92</w:t>
      </w:r>
    </w:p>
    <w:p>
      <w:pPr>
        <w:framePr w:w="1718" w:x="5835" w:y="42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220,466,211.88</w:t>
      </w:r>
    </w:p>
    <w:p>
      <w:pPr>
        <w:framePr w:w="1718" w:x="5835" w:y="425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364,533,475.51</w:t>
      </w:r>
    </w:p>
    <w:p>
      <w:pPr>
        <w:framePr w:w="1718" w:x="9160" w:y="42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363,231,699.32</w:t>
      </w:r>
    </w:p>
    <w:p>
      <w:pPr>
        <w:framePr w:w="1718" w:x="9160" w:y="42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154,161,909.76</w:t>
      </w:r>
    </w:p>
    <w:p>
      <w:pPr>
        <w:framePr w:w="1718" w:x="9160" w:y="425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517,409,060.19</w:t>
      </w:r>
    </w:p>
    <w:p>
      <w:pPr>
        <w:framePr w:w="1507" w:x="1798" w:y="45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其他货币资金</w:t>
      </w:r>
    </w:p>
    <w:p>
      <w:pPr>
        <w:framePr w:w="1507" w:x="1798" w:y="454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986" w:x="2024" w:y="51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其中：存放在境外的款项总额</w:t>
      </w:r>
    </w:p>
    <w:p>
      <w:pPr>
        <w:framePr w:w="1296" w:x="1798" w:y="56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3408" w:x="2218" w:y="6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其中受限制的货币资金明细如下：</w:t>
      </w:r>
    </w:p>
    <w:p>
      <w:pPr>
        <w:framePr w:w="2170" w:x="1798" w:y="6528"/>
        <w:widowControl w:val="0"/>
        <w:autoSpaceDE w:val="0"/>
        <w:autoSpaceDN w:val="0"/>
        <w:spacing w:line="211" w:lineRule="exact"/>
        <w:ind w:left="15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170" w:x="1798" w:y="6528"/>
        <w:widowControl w:val="0"/>
        <w:autoSpaceDE w:val="0"/>
        <w:autoSpaceDN w:val="0"/>
        <w:spacing w:before="15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银行承兑汇票保证金</w:t>
      </w:r>
    </w:p>
    <w:p>
      <w:pPr>
        <w:framePr w:w="2170" w:x="1798" w:y="6528"/>
        <w:widowControl w:val="0"/>
        <w:autoSpaceDE w:val="0"/>
        <w:autoSpaceDN w:val="0"/>
        <w:spacing w:before="15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信用证保证金</w:t>
      </w:r>
    </w:p>
    <w:p>
      <w:pPr>
        <w:framePr w:w="1085" w:x="6140" w:y="6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579" w:y="6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718" w:x="6200" w:y="6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179,233,000.00</w:t>
      </w:r>
    </w:p>
    <w:p>
      <w:pPr>
        <w:framePr w:w="1718" w:x="8639" w:y="6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115,000,000.00</w:t>
      </w:r>
    </w:p>
    <w:p>
      <w:pPr>
        <w:framePr w:w="1296" w:x="1798" w:y="76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履约保证金</w:t>
      </w:r>
    </w:p>
    <w:p>
      <w:pPr>
        <w:framePr w:w="1718" w:x="6200" w:y="7630"/>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41,233,211.88</w:t>
      </w:r>
    </w:p>
    <w:p>
      <w:pPr>
        <w:framePr w:w="1718" w:x="6200" w:y="7630"/>
        <w:widowControl w:val="0"/>
        <w:autoSpaceDE w:val="0"/>
        <w:autoSpaceDN w:val="0"/>
        <w:spacing w:before="52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220,466,211.88</w:t>
      </w:r>
    </w:p>
    <w:p>
      <w:pPr>
        <w:framePr w:w="1613" w:x="8745" w:y="76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39,134,997.70</w:t>
      </w:r>
    </w:p>
    <w:p>
      <w:pPr>
        <w:framePr w:w="1613" w:x="8745" w:y="7630"/>
        <w:widowControl w:val="0"/>
        <w:autoSpaceDE w:val="0"/>
        <w:autoSpaceDN w:val="0"/>
        <w:spacing w:before="156" w:line="211" w:lineRule="exact"/>
        <w:ind w:left="42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26,912.06</w:t>
      </w:r>
    </w:p>
    <w:p>
      <w:pPr>
        <w:framePr w:w="2352" w:x="1798" w:y="79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其他使用受限制的存款</w:t>
      </w:r>
    </w:p>
    <w:p>
      <w:pPr>
        <w:framePr w:w="2352" w:x="1798" w:y="7997"/>
        <w:widowControl w:val="0"/>
        <w:autoSpaceDE w:val="0"/>
        <w:autoSpaceDN w:val="0"/>
        <w:spacing w:before="15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8639" w:y="83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154,161,909.76</w:t>
      </w:r>
    </w:p>
    <w:p>
      <w:pPr>
        <w:framePr w:w="2138" w:x="1798" w:y="90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交易性金融资产</w:t>
      </w:r>
    </w:p>
    <w:p>
      <w:pPr>
        <w:framePr w:w="1817" w:x="1798" w:y="93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2" w:x="8279" w:y="96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4155" w:y="9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7614" w:y="9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9463" w:y="9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4886" w:x="1798" w:y="101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以公允价值计量且其变动计入当期损益的金融资产</w:t>
      </w:r>
    </w:p>
    <w:p>
      <w:pPr>
        <w:framePr w:w="874" w:x="1798" w:y="10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507" w:x="2364" w:y="10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衍生金融资产</w:t>
      </w:r>
    </w:p>
    <w:p>
      <w:pPr>
        <w:framePr w:w="1190" w:x="7974" w:y="107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p>
    <w:p>
      <w:pPr>
        <w:framePr w:w="1296" w:x="9580" w:y="107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122,821.60</w:t>
      </w:r>
    </w:p>
    <w:p>
      <w:pPr>
        <w:framePr w:w="1085" w:x="2364" w:y="11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理财产品</w:t>
      </w:r>
    </w:p>
    <w:p>
      <w:pPr>
        <w:framePr w:w="3426" w:x="7449" w:y="110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108,300,000.00</w:t>
      </w:r>
      <w:r>
        <w:rPr>
          <w:rFonts w:ascii="SimSun" w:eastAsiaTheme="minorEastAsia" w:hAnsiTheme="minorHAnsi" w:cstheme="minorBidi"/>
          <w:color w:val="000000"/>
          <w:spacing w:val="23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55,700,000.00</w:t>
      </w:r>
    </w:p>
    <w:p>
      <w:pPr>
        <w:framePr w:w="5309" w:x="1798" w:y="11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指定以公允价值计量且其变动计入当期损益的金融资产</w:t>
      </w:r>
    </w:p>
    <w:p>
      <w:pPr>
        <w:framePr w:w="874" w:x="1798" w:y="11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662" w:x="4155" w:y="11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426" w:x="7449" w:y="118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108,375,598.00</w:t>
      </w:r>
      <w:r>
        <w:rPr>
          <w:rFonts w:ascii="SimSun" w:eastAsiaTheme="minorEastAsia" w:hAnsiTheme="minorHAnsi" w:cstheme="minorBidi"/>
          <w:color w:val="000000"/>
          <w:spacing w:val="23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55,822,821.60</w:t>
      </w:r>
    </w:p>
    <w:p>
      <w:pPr>
        <w:framePr w:w="1296" w:x="1798" w:y="124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7" w:x="1798" w:y="134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衍生金融资产</w:t>
      </w:r>
    </w:p>
    <w:p>
      <w:pPr>
        <w:framePr w:w="1817" w:x="1798" w:y="137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5" w:x="1798" w:y="14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应收票据</w:t>
      </w:r>
    </w:p>
    <w:p>
      <w:pPr>
        <w:framePr w:w="4959" w:x="1798" w:y="147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应收票据分类列示</w:t>
      </w:r>
    </w:p>
    <w:p>
      <w:pPr>
        <w:framePr w:w="4959" w:x="1798" w:y="14723"/>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959" w:x="1798" w:y="14723"/>
        <w:widowControl w:val="0"/>
        <w:autoSpaceDE w:val="0"/>
        <w:autoSpaceDN w:val="0"/>
        <w:spacing w:before="121" w:line="220" w:lineRule="exact"/>
        <w:ind w:left="4112"/>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1" type="#_x0000_t75" style="width:445.6pt;height:2.7pt;margin-top:53.65pt;margin-left:87.45pt;mso-position-horizontal-relative:page;mso-position-vertical-relative:page;position:absolute;z-index:-251337728">
            <v:imagedata r:id="rId129" o:title=""/>
          </v:shape>
        </w:pict>
      </w:r>
      <w:r>
        <w:rPr>
          <w:noProof/>
        </w:rPr>
        <w:pict>
          <v:shape id="_x0000_s1192" type="#_x0000_t75" style="width:444.75pt;height:87.25pt;margin-top:181.7pt;margin-left:88.4pt;mso-position-horizontal-relative:page;mso-position-vertical-relative:page;position:absolute;z-index:-251381760">
            <v:imagedata r:id="rId130" o:title=""/>
          </v:shape>
        </w:pict>
      </w:r>
      <w:r>
        <w:rPr>
          <w:noProof/>
        </w:rPr>
        <w:pict>
          <v:shape id="_x0000_s1193" type="#_x0000_t75" style="width:428.9pt;height:112.5pt;margin-top:321.4pt;margin-left:83.25pt;mso-position-horizontal-relative:page;mso-position-vertical-relative:page;position:absolute;z-index:-251456512">
            <v:imagedata r:id="rId131" o:title=""/>
          </v:shape>
        </w:pict>
      </w:r>
      <w:r>
        <w:rPr>
          <w:noProof/>
        </w:rPr>
        <w:pict>
          <v:shape id="_x0000_s1194" type="#_x0000_t75" style="width:454.95pt;height:115.5pt;margin-top:492.45pt;margin-left:83.25pt;mso-position-horizontal-relative:page;mso-position-vertical-relative:page;position:absolute;z-index:-251566080">
            <v:imagedata r:id="rId132" o:title=""/>
          </v:shape>
        </w:pict>
      </w:r>
    </w:p>
    <w:p>
      <w:pPr>
        <w:spacing w:line="0" w:lineRule="atLeast"/>
        <w:rPr>
          <w:rFonts w:ascii="Arial" w:eastAsiaTheme="minorEastAsia" w:hAnsiTheme="minorHAnsi" w:cstheme="minorBidi"/>
          <w:color w:val="FF0000"/>
          <w:sz w:val="2"/>
          <w:szCs w:val="22"/>
          <w:lang w:val="en-US" w:eastAsia="en-US" w:bidi="ar-SA"/>
        </w:rPr>
      </w:pPr>
      <w:bookmarkStart w:id="91" w:name="br1_90"/>
      <w:bookmarkEnd w:id="9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554" w:x="83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535"/>
        <w:widowControl w:val="0"/>
        <w:autoSpaceDE w:val="0"/>
        <w:autoSpaceDN w:val="0"/>
        <w:spacing w:before="72" w:line="211" w:lineRule="exact"/>
        <w:ind w:left="47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03" w:x="1685" w:y="1819"/>
        <w:widowControl w:val="0"/>
        <w:autoSpaceDE w:val="0"/>
        <w:autoSpaceDN w:val="0"/>
        <w:spacing w:line="211" w:lineRule="exact"/>
        <w:ind w:left="124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03" w:x="1685" w:y="1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银行承兑票据</w:t>
      </w:r>
    </w:p>
    <w:p>
      <w:pPr>
        <w:framePr w:w="1903" w:x="1685" w:y="181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商业承兑票据</w:t>
      </w:r>
    </w:p>
    <w:p>
      <w:pPr>
        <w:framePr w:w="1903" w:x="1685" w:y="1819"/>
        <w:widowControl w:val="0"/>
        <w:autoSpaceDE w:val="0"/>
        <w:autoSpaceDN w:val="0"/>
        <w:spacing w:before="72" w:line="211" w:lineRule="exact"/>
        <w:ind w:left="124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775"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02" w:x="6779"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202" w:x="6779" w:y="2102"/>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507" w:x="9357"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507" w:x="9357" w:y="26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3298" w:x="1798" w:y="32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期末公司已质押的应收票据</w:t>
      </w:r>
    </w:p>
    <w:p>
      <w:pPr>
        <w:framePr w:w="1817" w:x="1798" w:y="37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462" w:x="1798" w:y="4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期末公司已背书或贴现且在资产负债表日尚未到期的应收票据</w:t>
      </w:r>
    </w:p>
    <w:p>
      <w:pPr>
        <w:framePr w:w="1817" w:x="1798" w:y="45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43" w:x="8231" w:y="4821"/>
        <w:widowControl w:val="0"/>
        <w:autoSpaceDE w:val="0"/>
        <w:autoSpaceDN w:val="0"/>
        <w:spacing w:line="211" w:lineRule="exact"/>
        <w:ind w:left="8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643" w:x="8231" w:y="4821"/>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期末未终止确认金额</w:t>
      </w:r>
    </w:p>
    <w:p>
      <w:pPr>
        <w:framePr w:w="1783" w:x="1798" w:y="5105"/>
        <w:widowControl w:val="0"/>
        <w:autoSpaceDE w:val="0"/>
        <w:autoSpaceDN w:val="0"/>
        <w:spacing w:line="211" w:lineRule="exact"/>
        <w:ind w:left="112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83" w:x="1798" w:y="510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银行承兑票据</w:t>
      </w:r>
    </w:p>
    <w:p>
      <w:pPr>
        <w:framePr w:w="1783" w:x="1798" w:y="510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商业承兑票据</w:t>
      </w:r>
    </w:p>
    <w:p>
      <w:pPr>
        <w:framePr w:w="1783" w:x="1798" w:y="5105"/>
        <w:widowControl w:val="0"/>
        <w:autoSpaceDE w:val="0"/>
        <w:autoSpaceDN w:val="0"/>
        <w:spacing w:before="72" w:line="211" w:lineRule="exact"/>
        <w:ind w:left="112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501" w:x="5250" w:y="51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期末终止确认金额</w:t>
      </w:r>
    </w:p>
    <w:p>
      <w:pPr>
        <w:framePr w:w="2501" w:x="5250" w:y="5105"/>
        <w:widowControl w:val="0"/>
        <w:autoSpaceDE w:val="0"/>
        <w:autoSpaceDN w:val="0"/>
        <w:spacing w:before="72" w:line="211" w:lineRule="exact"/>
        <w:ind w:left="99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1507" w:x="6248" w:y="59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1,100,000.00</w:t>
      </w:r>
    </w:p>
    <w:p>
      <w:pPr>
        <w:framePr w:w="5408" w:x="1798" w:y="6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期末公司因出票人未履约而将其转应收账款的票据</w:t>
      </w:r>
    </w:p>
    <w:p>
      <w:pPr>
        <w:framePr w:w="5408" w:x="1798" w:y="6535"/>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89" w:x="1798" w:y="7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按坏账计提方法分类披露</w:t>
      </w:r>
    </w:p>
    <w:p>
      <w:pPr>
        <w:framePr w:w="3089" w:x="1798" w:y="747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46" w:x="1798" w:y="8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坏账准备的情况</w:t>
      </w:r>
    </w:p>
    <w:p>
      <w:pPr>
        <w:framePr w:w="1817" w:x="1798" w:y="8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09" w:x="1798" w:y="9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本期实际核销的应收票据情况</w:t>
      </w:r>
    </w:p>
    <w:p>
      <w:pPr>
        <w:framePr w:w="1817" w:x="1798" w:y="9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4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07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5" w:x="1798" w:y="11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应收账款</w:t>
      </w:r>
    </w:p>
    <w:p>
      <w:pPr>
        <w:framePr w:w="1870" w:x="1798" w:y="116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按账龄披露</w:t>
      </w:r>
    </w:p>
    <w:p>
      <w:pPr>
        <w:framePr w:w="1870" w:x="1798" w:y="11674"/>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2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85" w:x="1798" w:y="12563"/>
        <w:widowControl w:val="0"/>
        <w:autoSpaceDE w:val="0"/>
        <w:autoSpaceDN w:val="0"/>
        <w:spacing w:line="211" w:lineRule="exact"/>
        <w:ind w:left="192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2585" w:x="1798" w:y="125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507" w:x="7749" w:y="125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2081" w:x="1798" w:y="131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31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312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718" w:x="9160" w:y="134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388,199,455.19</w:t>
      </w:r>
    </w:p>
    <w:p>
      <w:pPr>
        <w:framePr w:w="1718" w:x="9160" w:y="1341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1,453,604.39</w:t>
      </w:r>
    </w:p>
    <w:p>
      <w:pPr>
        <w:framePr w:w="1718" w:x="9160" w:y="13410"/>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1,095,043.57</w:t>
      </w:r>
    </w:p>
    <w:p>
      <w:pPr>
        <w:framePr w:w="1030" w:x="1798" w:y="13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142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14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年</w:t>
      </w:r>
    </w:p>
    <w:p>
      <w:pPr>
        <w:framePr w:w="1030" w:x="1798" w:y="148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年以上</w:t>
      </w:r>
    </w:p>
    <w:p>
      <w:pPr>
        <w:framePr w:w="662" w:x="3720" w:y="15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15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390,748,103.15</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5" type="#_x0000_t75" style="width:445.6pt;height:2.7pt;margin-top:53.65pt;margin-left:87.45pt;mso-position-horizontal-relative:page;mso-position-vertical-relative:page;position:absolute;z-index:-251336704">
            <v:imagedata r:id="rId133" o:title=""/>
          </v:shape>
        </w:pict>
      </w:r>
      <w:r>
        <w:rPr>
          <w:noProof/>
        </w:rPr>
        <w:pict>
          <v:shape id="_x0000_s1196" type="#_x0000_t75" style="width:452.8pt;height:59pt;margin-top:88pt;margin-left:81.6pt;mso-position-horizontal-relative:page;mso-position-vertical-relative:page;position:absolute;z-index:-251380736">
            <v:imagedata r:id="rId134" o:title=""/>
          </v:shape>
        </w:pict>
      </w:r>
      <w:r>
        <w:rPr>
          <w:noProof/>
        </w:rPr>
        <w:pict>
          <v:shape id="_x0000_s1197" type="#_x0000_t75" style="width:454.95pt;height:59.05pt;margin-top:252.25pt;margin-left:83.25pt;mso-position-horizontal-relative:page;mso-position-vertical-relative:page;position:absolute;z-index:-251455488">
            <v:imagedata r:id="rId135" o:title=""/>
          </v:shape>
        </w:pict>
      </w:r>
      <w:r>
        <w:rPr>
          <w:noProof/>
        </w:rPr>
        <w:pict>
          <v:shape id="_x0000_s1198" type="#_x0000_t75" style="width:447.3pt;height:143.6pt;margin-top:625.2pt;margin-left:87.1pt;mso-position-horizontal-relative:page;mso-position-vertical-relative:page;position:absolute;z-index:-251565056">
            <v:imagedata r:id="rId136" o:title=""/>
          </v:shape>
        </w:pict>
      </w:r>
    </w:p>
    <w:p>
      <w:pPr>
        <w:spacing w:line="0" w:lineRule="atLeast"/>
        <w:rPr>
          <w:rFonts w:ascii="Arial" w:eastAsiaTheme="minorEastAsia" w:hAnsiTheme="minorHAnsi" w:cstheme="minorBidi"/>
          <w:color w:val="FF0000"/>
          <w:sz w:val="2"/>
          <w:szCs w:val="22"/>
          <w:lang w:val="en-US" w:eastAsia="en-US" w:bidi="ar-SA"/>
        </w:rPr>
      </w:pPr>
      <w:bookmarkStart w:id="92" w:name="br1_91"/>
      <w:bookmarkEnd w:id="9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134"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按坏账计提方法分类披露</w:t>
      </w:r>
    </w:p>
    <w:p>
      <w:pPr>
        <w:framePr w:w="1817" w:x="1798" w:y="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3576"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59" w:x="8538"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659" w:x="8538" w:y="2755"/>
        <w:widowControl w:val="0"/>
        <w:autoSpaceDE w:val="0"/>
        <w:autoSpaceDN w:val="0"/>
        <w:spacing w:before="72" w:line="211" w:lineRule="exact"/>
        <w:ind w:left="22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659" w:x="8538" w:y="2755"/>
        <w:widowControl w:val="0"/>
        <w:autoSpaceDE w:val="0"/>
        <w:autoSpaceDN w:val="0"/>
        <w:spacing w:before="72" w:line="211" w:lineRule="exact"/>
        <w:ind w:left="99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157" w:x="1940" w:y="3038"/>
        <w:widowControl w:val="0"/>
        <w:autoSpaceDE w:val="0"/>
        <w:autoSpaceDN w:val="0"/>
        <w:spacing w:line="211" w:lineRule="exact"/>
        <w:ind w:left="7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57" w:x="1940" w:y="3038"/>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3857" w:y="3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159" w:x="6909" w:y="3038"/>
        <w:widowControl w:val="0"/>
        <w:autoSpaceDE w:val="0"/>
        <w:autoSpaceDN w:val="0"/>
        <w:spacing w:line="211" w:lineRule="exact"/>
        <w:ind w:left="7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59" w:x="6909" w:y="3038"/>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806" w:y="3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662" w:x="4705" w:y="3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662" w:x="4705" w:y="332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4705" w:y="3321"/>
        <w:widowControl w:val="0"/>
        <w:autoSpaceDE w:val="0"/>
        <w:autoSpaceDN w:val="0"/>
        <w:spacing w:before="62"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662" w:x="5629" w:y="3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5629" w:y="33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662" w:x="10524" w:y="3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10524" w:y="331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662" w:x="2861" w:y="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7833" w:y="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3783" w:y="3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8682" w:y="3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9535" w:y="3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557" w:x="2914" w:y="37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7885" w:y="37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9588" w:y="3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4859" w:x="552" w:y="41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w:t>
      </w:r>
      <w:r>
        <w:rPr>
          <w:rFonts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2,548,647.9</w:t>
      </w:r>
      <w:r>
        <w:rPr>
          <w:rFonts w:ascii="SimSun" w:eastAsiaTheme="minorEastAsia" w:hAnsiTheme="minorHAnsi" w:cstheme="minorBidi"/>
          <w:color w:val="000000"/>
          <w:spacing w:val="3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0.65</w:t>
      </w:r>
      <w:r>
        <w:rPr>
          <w:rFonts w:ascii="SimSun" w:eastAsiaTheme="minorEastAsia" w:hAnsiTheme="minorHAnsi" w:cstheme="minorBidi"/>
          <w:color w:val="000000"/>
          <w:spacing w:val="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2,548,647.9</w:t>
      </w:r>
      <w:r>
        <w:rPr>
          <w:rFonts w:ascii="SimSun" w:eastAsiaTheme="minorEastAsia" w:hAnsiTheme="minorHAnsi" w:cstheme="minorBidi"/>
          <w:color w:val="000000"/>
          <w:spacing w:val="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w:t>
      </w:r>
    </w:p>
    <w:p>
      <w:pPr>
        <w:framePr w:w="3670" w:x="6573" w:y="41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1,647,606.4</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0.54</w:t>
      </w:r>
      <w:r>
        <w:rPr>
          <w:rFonts w:ascii="SimSun" w:eastAsiaTheme="minorEastAsia" w:hAnsiTheme="minorHAnsi" w:cstheme="minorBidi"/>
          <w:color w:val="000000"/>
          <w:spacing w:val="-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1,647,606.</w:t>
      </w:r>
      <w:r>
        <w:rPr>
          <w:rFonts w:ascii="SimSun" w:eastAsiaTheme="minorEastAsia" w:hAnsiTheme="minorHAnsi" w:cstheme="minorBidi"/>
          <w:color w:val="000000"/>
          <w:spacing w:val="4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w:t>
      </w:r>
    </w:p>
    <w:p>
      <w:pPr>
        <w:framePr w:w="3670" w:x="6573" w:y="4147"/>
        <w:widowControl w:val="0"/>
        <w:autoSpaceDE w:val="0"/>
        <w:autoSpaceDN w:val="0"/>
        <w:spacing w:before="62" w:line="211" w:lineRule="exact"/>
        <w:ind w:left="264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r>
        <w:rPr>
          <w:rFonts w:ascii="SimSun" w:eastAsiaTheme="minorEastAsia" w:hAnsiTheme="minorHAnsi" w:cstheme="minorBidi"/>
          <w:color w:val="000000"/>
          <w:spacing w:val="25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w:t>
      </w:r>
    </w:p>
    <w:p>
      <w:pPr>
        <w:framePr w:w="1085" w:x="552" w:y="44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提坏账准</w:t>
      </w:r>
    </w:p>
    <w:p>
      <w:pPr>
        <w:framePr w:w="1085" w:x="552" w:y="44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w:t>
      </w:r>
    </w:p>
    <w:p>
      <w:pPr>
        <w:framePr w:w="346" w:x="2652" w:y="44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914" w:x="4494" w:y="44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w:t>
      </w:r>
    </w:p>
    <w:p>
      <w:pPr>
        <w:framePr w:w="346" w:x="7621" w:y="44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p>
    <w:p>
      <w:pPr>
        <w:framePr w:w="874" w:x="552" w:y="4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1097" w:x="552" w:y="52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w:t>
      </w:r>
      <w:r>
        <w:rPr>
          <w:rFonts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388,199,455</w:t>
      </w:r>
      <w:r>
        <w:rPr>
          <w:rFonts w:ascii="SimSun" w:eastAsiaTheme="minorEastAsia" w:hAnsiTheme="minorHAnsi" w:cstheme="minorBidi"/>
          <w:color w:val="000000"/>
          <w:spacing w:val="3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99.3</w:t>
      </w:r>
      <w:r>
        <w:rPr>
          <w:rFonts w:ascii="SimSun" w:eastAsiaTheme="minorEastAsia" w:hAnsiTheme="minorHAnsi" w:cstheme="minorBidi"/>
          <w:color w:val="000000"/>
          <w:spacing w:val="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19,409,982.</w:t>
      </w:r>
      <w:r>
        <w:rPr>
          <w:rFonts w:ascii="SimSun" w:eastAsiaTheme="minorEastAsia" w:hAnsiTheme="minorHAnsi" w:cstheme="minorBidi"/>
          <w:color w:val="000000"/>
          <w:spacing w:val="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5.00</w:t>
      </w:r>
      <w:r>
        <w:rPr>
          <w:rFonts w:ascii="SimSun"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368,789,473</w:t>
      </w:r>
      <w:r>
        <w:rPr>
          <w:rFonts w:ascii="SimSun"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301,920,639</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99.4</w:t>
      </w:r>
      <w:r>
        <w:rPr>
          <w:rFonts w:ascii="SimSun" w:eastAsiaTheme="minorEastAsia" w:hAnsiTheme="minorHAnsi" w:cstheme="minorBidi"/>
          <w:color w:val="000000"/>
          <w:spacing w:val="-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15,293,999</w:t>
      </w:r>
      <w:r>
        <w:rPr>
          <w:rFonts w:ascii="SimSun" w:eastAsiaTheme="minorEastAsia" w:hAnsiTheme="minorHAnsi" w:cstheme="minorBidi"/>
          <w:color w:val="000000"/>
          <w:spacing w:val="4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5.07</w:t>
      </w:r>
      <w:r>
        <w:rPr>
          <w:rFonts w:ascii="SimSun" w:eastAsiaTheme="minorEastAsia" w:hAnsiTheme="minorHAnsi" w:cstheme="minorBidi"/>
          <w:color w:val="000000"/>
          <w:spacing w:val="3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286,626,640.</w:t>
      </w:r>
    </w:p>
    <w:p>
      <w:pPr>
        <w:framePr w:w="1085" w:x="552" w:y="5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提坏账准</w:t>
      </w:r>
    </w:p>
    <w:p>
      <w:pPr>
        <w:framePr w:w="1085" w:x="552" w:y="553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w:t>
      </w:r>
    </w:p>
    <w:p>
      <w:pPr>
        <w:framePr w:w="557" w:x="2444"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w:t>
      </w:r>
    </w:p>
    <w:p>
      <w:pPr>
        <w:framePr w:w="346" w:x="3219"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w:t>
      </w:r>
    </w:p>
    <w:p>
      <w:pPr>
        <w:framePr w:w="451" w:x="4388"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09</w:t>
      </w:r>
    </w:p>
    <w:p>
      <w:pPr>
        <w:framePr w:w="557" w:x="6135"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p>
    <w:p>
      <w:pPr>
        <w:framePr w:w="557" w:x="7413"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w:t>
      </w:r>
    </w:p>
    <w:p>
      <w:pPr>
        <w:framePr w:w="346" w:x="8193"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557" w:x="9115"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w:t>
      </w:r>
    </w:p>
    <w:p>
      <w:pPr>
        <w:framePr w:w="451" w:x="11196" w:y="55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w:t>
      </w:r>
    </w:p>
    <w:p>
      <w:pPr>
        <w:framePr w:w="874" w:x="552" w:y="6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1097" w:x="552" w:y="63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账龄组合</w:t>
      </w:r>
      <w:r>
        <w:rPr>
          <w:rFonts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388,199,455</w:t>
      </w:r>
      <w:r>
        <w:rPr>
          <w:rFonts w:ascii="SimSun" w:eastAsiaTheme="minorEastAsia" w:hAnsiTheme="minorHAnsi" w:cstheme="minorBidi"/>
          <w:color w:val="000000"/>
          <w:spacing w:val="3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99.3</w:t>
      </w:r>
      <w:r>
        <w:rPr>
          <w:rFonts w:ascii="SimSun" w:eastAsiaTheme="minorEastAsia" w:hAnsiTheme="minorHAnsi" w:cstheme="minorBidi"/>
          <w:color w:val="000000"/>
          <w:spacing w:val="1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19,409,982.</w:t>
      </w:r>
      <w:r>
        <w:rPr>
          <w:rFonts w:ascii="SimSun" w:eastAsiaTheme="minorEastAsia" w:hAnsiTheme="minorHAnsi" w:cstheme="minorBidi"/>
          <w:color w:val="000000"/>
          <w:spacing w:val="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5.00</w:t>
      </w:r>
      <w:r>
        <w:rPr>
          <w:rFonts w:ascii="SimSun" w:eastAsiaTheme="minorEastAsia" w:hAnsiTheme="minorHAnsi" w:cstheme="minorBidi"/>
          <w:color w:val="000000"/>
          <w:spacing w:val="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368,789,473</w:t>
      </w:r>
      <w:r>
        <w:rPr>
          <w:rFonts w:ascii="SimSun"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301,920,639</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99.4</w:t>
      </w:r>
      <w:r>
        <w:rPr>
          <w:rFonts w:ascii="SimSun" w:eastAsiaTheme="minorEastAsia" w:hAnsiTheme="minorHAnsi" w:cstheme="minorBidi"/>
          <w:color w:val="000000"/>
          <w:spacing w:val="-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15,293,999</w:t>
      </w:r>
      <w:r>
        <w:rPr>
          <w:rFonts w:ascii="SimSun" w:eastAsiaTheme="minorEastAsia" w:hAnsiTheme="minorHAnsi" w:cstheme="minorBidi"/>
          <w:color w:val="000000"/>
          <w:spacing w:val="4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5.07</w:t>
      </w:r>
      <w:r>
        <w:rPr>
          <w:rFonts w:ascii="SimSun" w:eastAsiaTheme="minorEastAsia" w:hAnsiTheme="minorHAnsi" w:cstheme="minorBidi"/>
          <w:color w:val="000000"/>
          <w:spacing w:val="3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286,626,640.</w:t>
      </w:r>
    </w:p>
    <w:p>
      <w:pPr>
        <w:framePr w:w="11097" w:x="552" w:y="6368"/>
        <w:widowControl w:val="0"/>
        <w:autoSpaceDE w:val="0"/>
        <w:autoSpaceDN w:val="0"/>
        <w:spacing w:before="60" w:line="211" w:lineRule="exact"/>
        <w:ind w:left="189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w:t>
      </w:r>
      <w:r>
        <w:rPr>
          <w:rFonts w:ascii="SimSun" w:eastAsiaTheme="minorEastAsia" w:hAnsiTheme="minorHAnsi" w:cstheme="minorBidi"/>
          <w:color w:val="000000"/>
          <w:spacing w:val="152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09</w:t>
      </w:r>
      <w:r>
        <w:rPr>
          <w:rFonts w:ascii="SimSun" w:eastAsiaTheme="minorEastAsia" w:hAnsiTheme="minorHAnsi" w:cstheme="minorBidi"/>
          <w:color w:val="000000"/>
          <w:spacing w:val="143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eastAsiaTheme="minorEastAsia" w:hAnsiTheme="minorHAnsi" w:cstheme="minorBidi"/>
          <w:color w:val="000000"/>
          <w:spacing w:val="85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.22</w:t>
      </w:r>
      <w:r>
        <w:rPr>
          <w:rFonts w:ascii="SimSun" w:eastAsiaTheme="minorEastAsia" w:hAnsiTheme="minorHAnsi" w:cstheme="minorBidi"/>
          <w:color w:val="000000"/>
          <w:spacing w:val="128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.18</w:t>
      </w:r>
      <w:r>
        <w:rPr>
          <w:rFonts w:ascii="SimSun" w:eastAsiaTheme="minorEastAsia" w:hAnsiTheme="minorHAnsi" w:cstheme="minorBidi"/>
          <w:color w:val="000000"/>
          <w:spacing w:val="1659"/>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04</w:t>
      </w:r>
    </w:p>
    <w:p>
      <w:pPr>
        <w:framePr w:w="11097" w:x="552" w:y="6368"/>
        <w:widowControl w:val="0"/>
        <w:autoSpaceDE w:val="0"/>
        <w:autoSpaceDN w:val="0"/>
        <w:spacing w:before="72" w:line="211" w:lineRule="exact"/>
        <w:ind w:left="105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390,748,103</w:t>
      </w:r>
      <w:r>
        <w:rPr>
          <w:rFonts w:ascii="SimSun" w:eastAsiaTheme="minorEastAsia" w:hAnsiTheme="minorHAnsi" w:cstheme="minorBidi"/>
          <w:color w:val="000000"/>
          <w:spacing w:val="1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21,958,630.</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368,789,473</w:t>
      </w:r>
      <w:r>
        <w:rPr>
          <w:rFonts w:ascii="SimSun" w:eastAsiaTheme="minorEastAsia" w:hAnsiTheme="minorHAnsi" w:cstheme="minorBidi"/>
          <w:color w:val="000000"/>
          <w:spacing w:val="1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303,568,245</w:t>
      </w:r>
      <w:r>
        <w:rPr>
          <w:rFonts w:ascii="SimSun"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16,941,605</w:t>
      </w:r>
      <w:r>
        <w:rPr>
          <w:rFonts w:ascii="SimSun"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286,626,640.</w:t>
      </w:r>
    </w:p>
    <w:p>
      <w:pPr>
        <w:framePr w:w="346" w:x="3219" w:y="66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w:t>
      </w:r>
    </w:p>
    <w:p>
      <w:pPr>
        <w:framePr w:w="346" w:x="8193" w:y="66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662" w:x="806" w:y="70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557" w:x="2444"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p>
    <w:p>
      <w:pPr>
        <w:framePr w:w="451" w:x="4388"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w:t>
      </w:r>
    </w:p>
    <w:p>
      <w:pPr>
        <w:framePr w:w="557" w:x="6135"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p>
    <w:p>
      <w:pPr>
        <w:framePr w:w="557" w:x="7413"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.67</w:t>
      </w:r>
    </w:p>
    <w:p>
      <w:pPr>
        <w:framePr w:w="557" w:x="9115"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.63</w:t>
      </w:r>
    </w:p>
    <w:p>
      <w:pPr>
        <w:framePr w:w="451" w:x="11196"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04</w:t>
      </w:r>
    </w:p>
    <w:p>
      <w:pPr>
        <w:framePr w:w="2352" w:x="1798" w:y="77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w:t>
      </w:r>
    </w:p>
    <w:p>
      <w:pPr>
        <w:framePr w:w="2352" w:x="1798" w:y="775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82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6844" w:y="85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2530" w:y="87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4220" w:y="8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919" w:y="8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613" w:x="7355" w:y="8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507" w:x="9184" w:y="8859"/>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计提理由</w:t>
      </w:r>
    </w:p>
    <w:p>
      <w:pPr>
        <w:framePr w:w="1507" w:x="9184" w:y="88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预计无法收回</w:t>
      </w:r>
    </w:p>
    <w:p>
      <w:pPr>
        <w:framePr w:w="1507" w:x="9184" w:y="88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预计无法收回</w:t>
      </w:r>
    </w:p>
    <w:p>
      <w:pPr>
        <w:framePr w:w="1507" w:x="9184" w:y="88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预计无法收回</w:t>
      </w:r>
    </w:p>
    <w:p>
      <w:pPr>
        <w:framePr w:w="1507" w:x="9184" w:y="88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预计无法收回</w:t>
      </w:r>
    </w:p>
    <w:p>
      <w:pPr>
        <w:framePr w:w="1507" w:x="9184" w:y="88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预计无法收回</w:t>
      </w:r>
    </w:p>
    <w:p>
      <w:pPr>
        <w:framePr w:w="1507" w:x="9184" w:y="8859"/>
        <w:widowControl w:val="0"/>
        <w:autoSpaceDE w:val="0"/>
        <w:autoSpaceDN w:val="0"/>
        <w:spacing w:before="72" w:line="211" w:lineRule="exact"/>
        <w:ind w:left="5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74" w:x="1798" w:y="9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874" w:x="1798" w:y="91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874" w:x="1798" w:y="91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客户三</w:t>
      </w:r>
    </w:p>
    <w:p>
      <w:pPr>
        <w:framePr w:w="874" w:x="1798" w:y="914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客户四</w:t>
      </w:r>
    </w:p>
    <w:p>
      <w:pPr>
        <w:framePr w:w="874" w:x="1798" w:y="91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客户五</w:t>
      </w:r>
    </w:p>
    <w:p>
      <w:pPr>
        <w:framePr w:w="874" w:x="1798" w:y="914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122" w:y="9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1,308,676.99</w:t>
      </w:r>
    </w:p>
    <w:p>
      <w:pPr>
        <w:framePr w:w="1507" w:x="4122" w:y="914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494,487.37</w:t>
      </w:r>
    </w:p>
    <w:p>
      <w:pPr>
        <w:framePr w:w="1507" w:x="4122" w:y="914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281,529.13</w:t>
      </w:r>
    </w:p>
    <w:p>
      <w:pPr>
        <w:framePr w:w="1507" w:x="4122" w:y="9140"/>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249,578.00</w:t>
      </w:r>
    </w:p>
    <w:p>
      <w:pPr>
        <w:framePr w:w="1507" w:x="4122" w:y="914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214,376.47</w:t>
      </w:r>
    </w:p>
    <w:p>
      <w:pPr>
        <w:framePr w:w="1507" w:x="4122" w:y="9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2,548,647.96</w:t>
      </w:r>
    </w:p>
    <w:p>
      <w:pPr>
        <w:framePr w:w="1507" w:x="5823" w:y="9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1,308,676.99</w:t>
      </w:r>
    </w:p>
    <w:p>
      <w:pPr>
        <w:framePr w:w="1507" w:x="5823" w:y="914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494,487.37</w:t>
      </w:r>
    </w:p>
    <w:p>
      <w:pPr>
        <w:framePr w:w="1507" w:x="5823" w:y="914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281,529.13</w:t>
      </w:r>
    </w:p>
    <w:p>
      <w:pPr>
        <w:framePr w:w="1507" w:x="5823" w:y="9140"/>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249,578.00</w:t>
      </w:r>
    </w:p>
    <w:p>
      <w:pPr>
        <w:framePr w:w="1507" w:x="5823" w:y="914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214,376.47</w:t>
      </w:r>
    </w:p>
    <w:p>
      <w:pPr>
        <w:framePr w:w="1507" w:x="5823" w:y="9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2,548,647.96</w:t>
      </w:r>
    </w:p>
    <w:p>
      <w:pPr>
        <w:framePr w:w="874" w:x="8149" w:y="9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149" w:y="9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149" w:y="9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149" w:y="914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149" w:y="9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149" w:y="9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2986" w:x="1798" w:y="111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按单项计提坏账准备的说明：</w:t>
      </w:r>
    </w:p>
    <w:p>
      <w:pPr>
        <w:framePr w:w="2986" w:x="1798" w:y="1110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12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按组合计提坏账准备：</w:t>
      </w:r>
    </w:p>
    <w:p>
      <w:pPr>
        <w:framePr w:w="1817" w:x="1798" w:y="124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127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组合计提项目：账龄组合</w:t>
      </w:r>
    </w:p>
    <w:p>
      <w:pPr>
        <w:framePr w:w="2554" w:x="8217" w:y="13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92" w:x="6841" w:y="13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92" w:x="6841" w:y="132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2528" w:y="13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4520" w:y="1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613" w:x="8910" w:y="1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392" w:x="1798" w:y="138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一年以内</w:t>
      </w:r>
    </w:p>
    <w:p>
      <w:pPr>
        <w:framePr w:w="1392" w:x="1798" w:y="13861"/>
        <w:widowControl w:val="0"/>
        <w:autoSpaceDE w:val="0"/>
        <w:autoSpaceDN w:val="0"/>
        <w:spacing w:before="72" w:line="211" w:lineRule="exact"/>
        <w:ind w:left="73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515" w:y="138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388,199,455.19</w:t>
      </w:r>
    </w:p>
    <w:p>
      <w:pPr>
        <w:framePr w:w="1718" w:x="4515" w:y="138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388,199,455.19</w:t>
      </w:r>
    </w:p>
    <w:p>
      <w:pPr>
        <w:framePr w:w="1613" w:x="6973" w:y="138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19,409,982.09</w:t>
      </w:r>
    </w:p>
    <w:p>
      <w:pPr>
        <w:framePr w:w="1613" w:x="6973" w:y="138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19,409,982.09</w:t>
      </w:r>
    </w:p>
    <w:p>
      <w:pPr>
        <w:framePr w:w="662" w:x="10212" w:y="138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w:t>
      </w:r>
    </w:p>
    <w:p>
      <w:pPr>
        <w:framePr w:w="3619" w:x="1798" w:y="14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按组合计提坏账的确认标准及说明：</w:t>
      </w:r>
    </w:p>
    <w:p>
      <w:pPr>
        <w:framePr w:w="1817" w:x="1798" w:y="148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199" type="#_x0000_t75" style="width:445.6pt;height:2.7pt;margin-top:53.65pt;margin-left:87.45pt;mso-position-horizontal-relative:page;mso-position-vertical-relative:page;position:absolute;z-index:-251335680">
            <v:imagedata r:id="rId137" o:title=""/>
          </v:shape>
        </w:pict>
      </w:r>
      <w:r>
        <w:rPr>
          <w:noProof/>
        </w:rPr>
        <w:pict>
          <v:shape id="_x0000_s1200" type="#_x0000_t75" style="width:548.35pt;height:238.55pt;margin-top:134.8pt;margin-left:24.8pt;mso-position-horizontal-relative:page;mso-position-vertical-relative:page;position:absolute;z-index:-251379712">
            <v:imagedata r:id="rId138" o:title=""/>
          </v:shape>
        </w:pict>
      </w:r>
      <w:r>
        <w:rPr>
          <w:noProof/>
        </w:rPr>
        <w:pict>
          <v:shape id="_x0000_s1201" type="#_x0000_t75" style="width:454.95pt;height:115.4pt;margin-top:425.8pt;margin-left:83.25pt;mso-position-horizontal-relative:page;mso-position-vertical-relative:page;position:absolute;z-index:-251454464">
            <v:imagedata r:id="rId139" o:title=""/>
          </v:shape>
        </w:pict>
      </w:r>
      <w:r>
        <w:rPr>
          <w:noProof/>
        </w:rPr>
        <w:pict>
          <v:shape id="_x0000_s1202" type="#_x0000_t75" style="width:454.95pt;height:58.9pt;margin-top:661.9pt;margin-left:83.25pt;mso-position-horizontal-relative:page;mso-position-vertical-relative:page;position:absolute;z-index:-251564032">
            <v:imagedata r:id="rId140" o:title=""/>
          </v:shape>
        </w:pict>
      </w:r>
    </w:p>
    <w:p>
      <w:pPr>
        <w:spacing w:line="0" w:lineRule="atLeast"/>
        <w:rPr>
          <w:rFonts w:ascii="Arial" w:eastAsiaTheme="minorEastAsia" w:hAnsiTheme="minorHAnsi" w:cstheme="minorBidi"/>
          <w:color w:val="FF0000"/>
          <w:sz w:val="2"/>
          <w:szCs w:val="22"/>
          <w:lang w:val="en-US" w:eastAsia="en-US" w:bidi="ar-SA"/>
        </w:rPr>
      </w:pPr>
      <w:bookmarkStart w:id="93" w:name="br1_92"/>
      <w:bookmarkEnd w:id="9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57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657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92" w:x="1798" w:y="2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坏账准备的情况</w:t>
      </w:r>
    </w:p>
    <w:p>
      <w:pPr>
        <w:framePr w:w="1817" w:x="179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07" w:x="6222" w:y="3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662" w:x="2112" w:y="37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336" w:y="37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874" w:x="6241" w:y="37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收回或</w:t>
      </w:r>
    </w:p>
    <w:p>
      <w:pPr>
        <w:framePr w:w="874" w:x="6241" w:y="3720"/>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转回</w:t>
      </w:r>
    </w:p>
    <w:p>
      <w:pPr>
        <w:framePr w:w="874" w:x="7281" w:y="37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转销或</w:t>
      </w:r>
    </w:p>
    <w:p>
      <w:pPr>
        <w:framePr w:w="874" w:x="7281" w:y="3720"/>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核销</w:t>
      </w:r>
    </w:p>
    <w:p>
      <w:pPr>
        <w:framePr w:w="874" w:x="8317" w:y="37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其他变</w:t>
      </w:r>
    </w:p>
    <w:p>
      <w:pPr>
        <w:framePr w:w="874" w:x="8317" w:y="3720"/>
        <w:widowControl w:val="0"/>
        <w:autoSpaceDE w:val="0"/>
        <w:autoSpaceDN w:val="0"/>
        <w:spacing w:before="6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w:t>
      </w:r>
    </w:p>
    <w:p>
      <w:pPr>
        <w:framePr w:w="1085" w:x="9528" w:y="37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5087" w:y="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4371" w:x="1798" w:y="42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应收账款坏</w:t>
      </w:r>
      <w:r>
        <w:rPr>
          <w:rFonts w:eastAsiaTheme="minorEastAsia" w:hAnsiTheme="minorHAnsi" w:cstheme="minorBidi"/>
          <w:color w:val="000000"/>
          <w:spacing w:val="17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16,941,605.63</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5,017,024.42</w:t>
      </w:r>
    </w:p>
    <w:p>
      <w:pPr>
        <w:framePr w:w="1613" w:x="9266" w:y="42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21,958,630.05</w:t>
      </w:r>
    </w:p>
    <w:p>
      <w:pPr>
        <w:framePr w:w="1613" w:x="9266" w:y="4274"/>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21,958,630.05</w:t>
      </w:r>
    </w:p>
    <w:p>
      <w:pPr>
        <w:framePr w:w="874" w:x="1798" w:y="45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账准备</w:t>
      </w:r>
    </w:p>
    <w:p>
      <w:pPr>
        <w:framePr w:w="662" w:x="2112" w:y="4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094" w:x="3075" w:y="4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16,941,605.63</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5,017,024.42</w:t>
      </w:r>
    </w:p>
    <w:p>
      <w:pPr>
        <w:framePr w:w="4253" w:x="1798" w:y="5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其中本期坏账准备收回或转回金额重要的：</w:t>
      </w:r>
    </w:p>
    <w:p>
      <w:pPr>
        <w:framePr w:w="1817" w:x="1798" w:y="5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55" w:x="1798" w:y="61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本期实际核销的应收账款情况</w:t>
      </w:r>
    </w:p>
    <w:p>
      <w:pPr>
        <w:framePr w:w="1817" w:x="1798" w:y="64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42" w:x="1798" w:y="70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按欠款方归集的期末余额前五名的应收账款情况</w:t>
      </w:r>
    </w:p>
    <w:p>
      <w:pPr>
        <w:framePr w:w="1817" w:x="1798" w:y="7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2400" w:y="7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4662" w:y="7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141" w:x="6399" w:y="7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占应收账款期末余额</w:t>
      </w:r>
    </w:p>
    <w:p>
      <w:pPr>
        <w:framePr w:w="1718" w:x="8872" w:y="7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已计提坏账准备</w:t>
      </w:r>
    </w:p>
    <w:p>
      <w:pPr>
        <w:framePr w:w="1843" w:x="6769" w:y="82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的比例（</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1843" w:x="6769" w:y="8220"/>
        <w:widowControl w:val="0"/>
        <w:autoSpaceDE w:val="0"/>
        <w:autoSpaceDN w:val="0"/>
        <w:spacing w:before="72" w:line="211" w:lineRule="exact"/>
        <w:ind w:left="107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12.84</w:t>
      </w:r>
    </w:p>
    <w:p>
      <w:pPr>
        <w:framePr w:w="1843" w:x="6769" w:y="8220"/>
        <w:widowControl w:val="0"/>
        <w:autoSpaceDE w:val="0"/>
        <w:autoSpaceDN w:val="0"/>
        <w:spacing w:before="72" w:line="211" w:lineRule="exact"/>
        <w:ind w:left="118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9.57</w:t>
      </w:r>
    </w:p>
    <w:p>
      <w:pPr>
        <w:framePr w:w="874" w:x="1798" w:y="85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874" w:x="1798" w:y="85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874" w:x="1798" w:y="850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客户三</w:t>
      </w:r>
    </w:p>
    <w:p>
      <w:pPr>
        <w:framePr w:w="874" w:x="1798" w:y="85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客户四</w:t>
      </w:r>
    </w:p>
    <w:p>
      <w:pPr>
        <w:framePr w:w="874" w:x="1798" w:y="850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客户五</w:t>
      </w:r>
    </w:p>
    <w:p>
      <w:pPr>
        <w:framePr w:w="874" w:x="1798" w:y="850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635" w:y="850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50,165,755.13</w:t>
      </w:r>
    </w:p>
    <w:p>
      <w:pPr>
        <w:framePr w:w="1718" w:x="4635" w:y="850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37,382,591.80</w:t>
      </w:r>
    </w:p>
    <w:p>
      <w:pPr>
        <w:framePr w:w="1718" w:x="4635" w:y="850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29,367,536.72</w:t>
      </w:r>
    </w:p>
    <w:p>
      <w:pPr>
        <w:framePr w:w="1718" w:x="4635" w:y="850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23,216,686.74</w:t>
      </w:r>
    </w:p>
    <w:p>
      <w:pPr>
        <w:framePr w:w="1718" w:x="4635" w:y="850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22,720,097.76</w:t>
      </w:r>
    </w:p>
    <w:p>
      <w:pPr>
        <w:framePr w:w="1718" w:x="4635" w:y="850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162,852,668.15</w:t>
      </w:r>
    </w:p>
    <w:p>
      <w:pPr>
        <w:framePr w:w="1507" w:x="9372" w:y="85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2,508,287.76</w:t>
      </w:r>
    </w:p>
    <w:p>
      <w:pPr>
        <w:framePr w:w="1507" w:x="9372" w:y="85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1,869,129.59</w:t>
      </w:r>
    </w:p>
    <w:p>
      <w:pPr>
        <w:framePr w:w="1507" w:x="9372" w:y="850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1,468,376.84</w:t>
      </w:r>
    </w:p>
    <w:p>
      <w:pPr>
        <w:framePr w:w="1507" w:x="9372" w:y="85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1,160,834.34</w:t>
      </w:r>
    </w:p>
    <w:p>
      <w:pPr>
        <w:framePr w:w="1507" w:x="9372" w:y="850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1,136,004.89</w:t>
      </w:r>
    </w:p>
    <w:p>
      <w:pPr>
        <w:framePr w:w="1507" w:x="9372" w:y="850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8,142,633.42</w:t>
      </w:r>
    </w:p>
    <w:p>
      <w:pPr>
        <w:framePr w:w="662" w:x="7950" w:y="90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7.52</w:t>
      </w:r>
    </w:p>
    <w:p>
      <w:pPr>
        <w:framePr w:w="662" w:x="7950" w:y="935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5.94</w:t>
      </w:r>
    </w:p>
    <w:p>
      <w:pPr>
        <w:framePr w:w="662" w:x="7950" w:y="96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5.81</w:t>
      </w:r>
    </w:p>
    <w:p>
      <w:pPr>
        <w:framePr w:w="768" w:x="7845" w:y="99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41.68</w:t>
      </w:r>
    </w:p>
    <w:p>
      <w:pPr>
        <w:framePr w:w="4399" w:x="1798" w:y="105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因金融资产转移而终止确认的应收账款</w:t>
      </w:r>
    </w:p>
    <w:p>
      <w:pPr>
        <w:framePr w:w="1817" w:x="1798" w:y="110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42" w:x="1798" w:y="11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转移应收账款且继续涉入形成的资产、负债金额</w:t>
      </w:r>
    </w:p>
    <w:p>
      <w:pPr>
        <w:framePr w:w="1817" w:x="1798" w:y="12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2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7" w:x="1798" w:y="13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应收款项融资</w:t>
      </w:r>
    </w:p>
    <w:p>
      <w:pPr>
        <w:framePr w:w="1817" w:x="1798" w:y="139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2" w:x="8418" w:y="141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2" w:x="8418" w:y="14173"/>
        <w:widowControl w:val="0"/>
        <w:autoSpaceDE w:val="0"/>
        <w:autoSpaceDN w:val="0"/>
        <w:spacing w:before="72" w:line="211" w:lineRule="exact"/>
        <w:ind w:left="44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101" w:y="14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3101" w:y="14457"/>
        <w:widowControl w:val="0"/>
        <w:autoSpaceDE w:val="0"/>
        <w:autoSpaceDN w:val="0"/>
        <w:spacing w:before="3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004" w:x="5963" w:y="144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004" w:x="5963" w:y="14457"/>
        <w:widowControl w:val="0"/>
        <w:autoSpaceDE w:val="0"/>
        <w:autoSpaceDN w:val="0"/>
        <w:spacing w:before="74" w:line="211" w:lineRule="exact"/>
        <w:ind w:left="39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21,098,703.17</w:t>
      </w:r>
    </w:p>
    <w:p>
      <w:pPr>
        <w:framePr w:w="2004" w:x="5963" w:y="14457"/>
        <w:widowControl w:val="0"/>
        <w:autoSpaceDE w:val="0"/>
        <w:autoSpaceDN w:val="0"/>
        <w:spacing w:before="77" w:line="211" w:lineRule="exact"/>
        <w:ind w:left="39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21,098,703.17</w:t>
      </w:r>
    </w:p>
    <w:p>
      <w:pPr>
        <w:framePr w:w="1507" w:x="1798" w:y="1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银行承兑汇票</w:t>
      </w:r>
    </w:p>
    <w:p>
      <w:pPr>
        <w:framePr w:w="1613" w:x="9266" w:y="147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1613" w:x="9266" w:y="1474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15,091,149.90</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03" type="#_x0000_t75" style="width:445.6pt;height:2.7pt;margin-top:53.65pt;margin-left:87.45pt;mso-position-horizontal-relative:page;mso-position-vertical-relative:page;position:absolute;z-index:-251334656">
            <v:imagedata r:id="rId141" o:title=""/>
          </v:shape>
        </w:pict>
      </w:r>
      <w:r>
        <w:rPr>
          <w:noProof/>
        </w:rPr>
        <w:pict>
          <v:shape id="_x0000_s1204" type="#_x0000_t75" style="width:455.55pt;height:86.25pt;margin-top:168.85pt;margin-left:83pt;mso-position-horizontal-relative:page;mso-position-vertical-relative:page;position:absolute;z-index:-251378688">
            <v:imagedata r:id="rId142" o:title=""/>
          </v:shape>
        </w:pict>
      </w:r>
      <w:r>
        <w:rPr>
          <w:noProof/>
        </w:rPr>
        <w:pict>
          <v:shape id="_x0000_s1205" type="#_x0000_t75" style="width:454.95pt;height:114.95pt;margin-top:394.5pt;margin-left:83.25pt;mso-position-horizontal-relative:page;mso-position-vertical-relative:page;position:absolute;z-index:-251453440">
            <v:imagedata r:id="rId143" o:title=""/>
          </v:shape>
        </w:pict>
      </w:r>
      <w:r>
        <w:rPr>
          <w:noProof/>
        </w:rPr>
        <w:pict>
          <v:shape id="_x0000_s1206" type="#_x0000_t75" style="width:454.95pt;height:45.3pt;margin-top:719.85pt;margin-left:83.25pt;mso-position-horizontal-relative:page;mso-position-vertical-relative:page;position:absolute;z-index:-251563008">
            <v:imagedata r:id="rId144" o:title=""/>
          </v:shape>
        </w:pict>
      </w:r>
    </w:p>
    <w:p>
      <w:pPr>
        <w:spacing w:line="0" w:lineRule="atLeast"/>
        <w:rPr>
          <w:rFonts w:ascii="Arial" w:eastAsiaTheme="minorEastAsia" w:hAnsiTheme="minorHAnsi" w:cstheme="minorBidi"/>
          <w:color w:val="FF0000"/>
          <w:sz w:val="2"/>
          <w:szCs w:val="22"/>
          <w:lang w:val="en-US" w:eastAsia="en-US" w:bidi="ar-SA"/>
        </w:rPr>
      </w:pPr>
      <w:bookmarkStart w:id="94" w:name="br1_93"/>
      <w:bookmarkEnd w:id="9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88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应收款项融资本期增减变动及公允价值变动情况：</w:t>
      </w:r>
    </w:p>
    <w:p>
      <w:pPr>
        <w:framePr w:w="1817" w:x="1798"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24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6576" w:x="1798" w:y="249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34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38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3852"/>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预付款项</w:t>
      </w:r>
    </w:p>
    <w:p>
      <w:pPr>
        <w:framePr w:w="2758" w:x="1798" w:y="45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预付款项按账龄列示</w:t>
      </w:r>
    </w:p>
    <w:p>
      <w:pPr>
        <w:framePr w:w="2758" w:x="1798" w:y="4517"/>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5122"/>
        <w:widowControl w:val="0"/>
        <w:autoSpaceDE w:val="0"/>
        <w:autoSpaceDN w:val="0"/>
        <w:spacing w:before="72" w:line="211" w:lineRule="exact"/>
        <w:ind w:left="3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4592" w:y="54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2237" w:y="55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662" w:x="3862" w:y="56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979" w:x="5591" w:y="56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662" w:x="7624" w:y="56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979" w:x="9350" w:y="56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102" w:x="1798" w:y="5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102" w:x="1798" w:y="59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102" w:x="1798" w:y="59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102" w:x="1798" w:y="59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年以上</w:t>
      </w:r>
    </w:p>
    <w:p>
      <w:pPr>
        <w:framePr w:w="1102" w:x="1798" w:y="5969"/>
        <w:widowControl w:val="0"/>
        <w:autoSpaceDE w:val="0"/>
        <w:autoSpaceDN w:val="0"/>
        <w:spacing w:before="70" w:line="211" w:lineRule="exact"/>
        <w:ind w:left="43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3622" w:y="5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35,484,105.10</w:t>
      </w:r>
    </w:p>
    <w:p>
      <w:pPr>
        <w:framePr w:w="1613" w:x="3622" w:y="5969"/>
        <w:widowControl w:val="0"/>
        <w:autoSpaceDE w:val="0"/>
        <w:autoSpaceDN w:val="0"/>
        <w:spacing w:before="70" w:line="211" w:lineRule="exact"/>
        <w:ind w:left="42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78,026.12</w:t>
      </w:r>
    </w:p>
    <w:p>
      <w:pPr>
        <w:framePr w:w="768" w:x="6339" w:y="5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99.08</w:t>
      </w:r>
    </w:p>
    <w:p>
      <w:pPr>
        <w:framePr w:w="768" w:x="6339" w:y="596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0.22</w:t>
      </w:r>
    </w:p>
    <w:p>
      <w:pPr>
        <w:framePr w:w="768" w:x="6339" w:y="596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0.08</w:t>
      </w:r>
    </w:p>
    <w:p>
      <w:pPr>
        <w:framePr w:w="768" w:x="6339" w:y="596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0.62</w:t>
      </w:r>
    </w:p>
    <w:p>
      <w:pPr>
        <w:framePr w:w="768" w:x="6339" w:y="5969"/>
        <w:widowControl w:val="0"/>
        <w:autoSpaceDE w:val="0"/>
        <w:autoSpaceDN w:val="0"/>
        <w:spacing w:before="70" w:line="211" w:lineRule="exact"/>
        <w:ind w:left="21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w:t>
      </w:r>
    </w:p>
    <w:p>
      <w:pPr>
        <w:framePr w:w="1613" w:x="7374" w:y="5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13,927,061.21</w:t>
      </w:r>
    </w:p>
    <w:p>
      <w:pPr>
        <w:framePr w:w="1613" w:x="7374" w:y="596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460,290.00</w:t>
      </w:r>
    </w:p>
    <w:p>
      <w:pPr>
        <w:framePr w:w="768" w:x="10106" w:y="59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94.96</w:t>
      </w:r>
    </w:p>
    <w:p>
      <w:pPr>
        <w:framePr w:w="768" w:x="10106" w:y="596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3.14</w:t>
      </w:r>
    </w:p>
    <w:p>
      <w:pPr>
        <w:framePr w:w="1190" w:x="4043" w:y="65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30,000.00</w:t>
      </w:r>
    </w:p>
    <w:p>
      <w:pPr>
        <w:framePr w:w="1613" w:x="3622" w:y="6816"/>
        <w:widowControl w:val="0"/>
        <w:autoSpaceDE w:val="0"/>
        <w:autoSpaceDN w:val="0"/>
        <w:spacing w:line="211" w:lineRule="exact"/>
        <w:ind w:left="31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220,785.24</w:t>
      </w:r>
    </w:p>
    <w:p>
      <w:pPr>
        <w:framePr w:w="1613" w:x="3622" w:y="681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35,812,916.46</w:t>
      </w:r>
    </w:p>
    <w:p>
      <w:pPr>
        <w:framePr w:w="1296" w:x="7689" w:y="68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278,502.71</w:t>
      </w:r>
    </w:p>
    <w:p>
      <w:pPr>
        <w:framePr w:w="662" w:x="10212" w:y="68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1.90</w:t>
      </w:r>
    </w:p>
    <w:p>
      <w:pPr>
        <w:framePr w:w="1613" w:x="7374" w:y="70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14,665,853.92</w:t>
      </w:r>
    </w:p>
    <w:p>
      <w:pPr>
        <w:framePr w:w="874" w:x="10000" w:y="70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5917" w:x="1798" w:y="75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账龄超过</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1</w:t>
      </w:r>
      <w:r>
        <w:rPr>
          <w:rFonts w:ascii="SimSun" w:hAnsi="SimSun" w:eastAsiaTheme="minorEastAsia" w:cs="SimSun"/>
          <w:color w:val="000000"/>
          <w:sz w:val="21"/>
          <w:szCs w:val="22"/>
          <w:lang w:val="en-US" w:eastAsia="en-US" w:bidi="ar-SA"/>
        </w:rPr>
        <w:t>年且金额重要的预付款项未及时结算原因的说明：</w:t>
      </w:r>
    </w:p>
    <w:p>
      <w:pPr>
        <w:framePr w:w="451" w:x="1798" w:y="7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5285" w:x="1798" w:y="8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按预付对象归集的期末余额前五名的预付款情况</w:t>
      </w:r>
    </w:p>
    <w:p>
      <w:pPr>
        <w:framePr w:w="1817" w:x="1798" w:y="87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2175" w:y="9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3985" w:y="9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776" w:x="5478" w:y="9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占预付款项总额</w:t>
      </w:r>
    </w:p>
    <w:p>
      <w:pPr>
        <w:framePr w:w="1776" w:x="5478" w:y="9265"/>
        <w:widowControl w:val="0"/>
        <w:autoSpaceDE w:val="0"/>
        <w:autoSpaceDN w:val="0"/>
        <w:spacing w:before="62" w:line="211" w:lineRule="exact"/>
        <w:ind w:left="264"/>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的比例</w:t>
      </w:r>
      <w:r>
        <w:rPr>
          <w:rFonts w:ascii="SimSun" w:eastAsiaTheme="minorEastAsia" w:hAnsiTheme="minorHAnsi" w:cstheme="minorBidi"/>
          <w:color w:val="000000"/>
          <w:spacing w:val="1"/>
          <w:sz w:val="21"/>
          <w:szCs w:val="22"/>
          <w:lang w:val="en-US" w:eastAsia="en-US" w:bidi="ar-SA"/>
        </w:rPr>
        <w:t>(%)</w:t>
      </w:r>
    </w:p>
    <w:p>
      <w:pPr>
        <w:framePr w:w="1776" w:x="5478" w:y="9265"/>
        <w:widowControl w:val="0"/>
        <w:autoSpaceDE w:val="0"/>
        <w:autoSpaceDN w:val="0"/>
        <w:spacing w:before="70" w:line="211" w:lineRule="exact"/>
        <w:ind w:left="100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12.68</w:t>
      </w:r>
    </w:p>
    <w:p>
      <w:pPr>
        <w:framePr w:w="1085" w:x="7605" w:y="9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预付时间</w:t>
      </w:r>
    </w:p>
    <w:p>
      <w:pPr>
        <w:framePr w:w="1296" w:x="9309" w:y="9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未结算原因</w:t>
      </w:r>
    </w:p>
    <w:p>
      <w:pPr>
        <w:framePr w:w="874" w:x="1798" w:y="9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单位一</w:t>
      </w:r>
    </w:p>
    <w:p>
      <w:pPr>
        <w:framePr w:w="1613" w:x="3836" w:y="981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4,539,412.86</w:t>
      </w:r>
    </w:p>
    <w:p>
      <w:pPr>
        <w:framePr w:w="1613" w:x="3836" w:y="981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3,767,017.41</w:t>
      </w:r>
    </w:p>
    <w:p>
      <w:pPr>
        <w:framePr w:w="1613" w:x="3836" w:y="9819"/>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3,295,663.72</w:t>
      </w:r>
    </w:p>
    <w:p>
      <w:pPr>
        <w:framePr w:w="1613" w:x="3836" w:y="981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1,944,000.00</w:t>
      </w:r>
    </w:p>
    <w:p>
      <w:pPr>
        <w:framePr w:w="1613" w:x="3836" w:y="981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1,779,235.33</w:t>
      </w:r>
    </w:p>
    <w:p>
      <w:pPr>
        <w:framePr w:w="1613" w:x="3836" w:y="981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15,325,329.32</w:t>
      </w:r>
    </w:p>
    <w:p>
      <w:pPr>
        <w:framePr w:w="1030" w:x="7631" w:y="9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631" w:y="9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631" w:y="981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631" w:y="9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030" w:x="7631" w:y="9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718" w:x="9098" w:y="9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98" w:y="9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98" w:y="981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98" w:y="9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1718" w:x="9098" w:y="981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合同未履行完成</w:t>
      </w:r>
    </w:p>
    <w:p>
      <w:pPr>
        <w:framePr w:w="874" w:x="1798" w:y="10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单位二</w:t>
      </w:r>
    </w:p>
    <w:p>
      <w:pPr>
        <w:framePr w:w="874" w:x="1798" w:y="101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单位三</w:t>
      </w:r>
    </w:p>
    <w:p>
      <w:pPr>
        <w:framePr w:w="874" w:x="1798" w:y="101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单位四</w:t>
      </w:r>
    </w:p>
    <w:p>
      <w:pPr>
        <w:framePr w:w="874" w:x="1798" w:y="101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单位五</w:t>
      </w:r>
    </w:p>
    <w:p>
      <w:pPr>
        <w:framePr w:w="874" w:x="1798" w:y="101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768" w:x="6486" w:y="10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10.52</w:t>
      </w:r>
    </w:p>
    <w:p>
      <w:pPr>
        <w:framePr w:w="662" w:x="6592" w:y="1038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9.20</w:t>
      </w:r>
    </w:p>
    <w:p>
      <w:pPr>
        <w:framePr w:w="662" w:x="6592" w:y="106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5.43</w:t>
      </w:r>
    </w:p>
    <w:p>
      <w:pPr>
        <w:framePr w:w="662" w:x="6592" w:y="109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4.97</w:t>
      </w:r>
    </w:p>
    <w:p>
      <w:pPr>
        <w:framePr w:w="768" w:x="6486" w:y="1123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42.80</w:t>
      </w:r>
    </w:p>
    <w:p>
      <w:pPr>
        <w:framePr w:w="1085" w:x="1798" w:y="117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20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6" w:x="1798" w:y="123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其他应收款</w:t>
      </w:r>
    </w:p>
    <w:p>
      <w:pPr>
        <w:framePr w:w="1716" w:x="1798" w:y="1239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13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328"/>
        <w:widowControl w:val="0"/>
        <w:autoSpaceDE w:val="0"/>
        <w:autoSpaceDN w:val="0"/>
        <w:spacing w:before="72" w:line="211" w:lineRule="exact"/>
        <w:ind w:left="54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072" w:y="13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931" w:y="13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1798" w:y="13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应收利息</w:t>
      </w:r>
    </w:p>
    <w:p>
      <w:pPr>
        <w:framePr w:w="1296" w:x="1798" w:y="1389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296" w:x="1798" w:y="1389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507" w:x="6443" w:y="144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1,417,664.32</w:t>
      </w:r>
    </w:p>
    <w:p>
      <w:pPr>
        <w:framePr w:w="1507" w:x="6443" w:y="144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1,417,664.32</w:t>
      </w:r>
    </w:p>
    <w:p>
      <w:pPr>
        <w:framePr w:w="1507" w:x="9367" w:y="144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1507" w:x="9367" w:y="144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2,202,302.07</w:t>
      </w:r>
    </w:p>
    <w:p>
      <w:pPr>
        <w:framePr w:w="662" w:x="3072" w:y="14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150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07" type="#_x0000_t75" style="width:445.6pt;height:2.7pt;margin-top:53.65pt;margin-left:87.45pt;mso-position-horizontal-relative:page;mso-position-vertical-relative:page;position:absolute;z-index:-251333632">
            <v:imagedata r:id="rId145" o:title=""/>
          </v:shape>
        </w:pict>
      </w:r>
      <w:r>
        <w:rPr>
          <w:noProof/>
        </w:rPr>
        <w:pict>
          <v:shape id="_x0000_s1208" type="#_x0000_t75" style="width:447.3pt;height:101.35pt;margin-top:267.15pt;margin-left:87.1pt;mso-position-horizontal-relative:page;mso-position-vertical-relative:page;position:absolute;z-index:-251377664">
            <v:imagedata r:id="rId146" o:title=""/>
          </v:shape>
        </w:pict>
      </w:r>
      <w:r>
        <w:rPr>
          <w:noProof/>
        </w:rPr>
        <w:pict>
          <v:shape id="_x0000_s1209" type="#_x0000_t75" style="width:454.95pt;height:114.9pt;margin-top:460.25pt;margin-left:83.25pt;mso-position-horizontal-relative:page;mso-position-vertical-relative:page;position:absolute;z-index:-251452416">
            <v:imagedata r:id="rId147" o:title=""/>
          </v:shape>
        </w:pict>
      </w:r>
      <w:r>
        <w:rPr>
          <w:noProof/>
        </w:rPr>
        <w:pict>
          <v:shape id="_x0000_s1210" type="#_x0000_t75" style="width:455.55pt;height:73.15pt;margin-top:677.5pt;margin-left:83pt;mso-position-horizontal-relative:page;mso-position-vertical-relative:page;position:absolute;z-index:-251561984">
            <v:imagedata r:id="rId148" o:title=""/>
          </v:shape>
        </w:pict>
      </w:r>
    </w:p>
    <w:p>
      <w:pPr>
        <w:spacing w:line="0" w:lineRule="atLeast"/>
        <w:rPr>
          <w:rFonts w:ascii="Arial" w:eastAsiaTheme="minorEastAsia" w:hAnsiTheme="minorHAnsi" w:cstheme="minorBidi"/>
          <w:color w:val="FF0000"/>
          <w:sz w:val="2"/>
          <w:szCs w:val="22"/>
          <w:lang w:val="en-US" w:eastAsia="en-US" w:bidi="ar-SA"/>
        </w:rPr>
      </w:pPr>
      <w:bookmarkStart w:id="95" w:name="br1_94"/>
      <w:bookmarkEnd w:id="9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应收利息</w:t>
      </w:r>
    </w:p>
    <w:p>
      <w:pPr>
        <w:framePr w:w="2477" w:x="179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应收利息分类</w:t>
      </w:r>
    </w:p>
    <w:p>
      <w:pPr>
        <w:framePr w:w="2477" w:x="1798" w:y="2611"/>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77" w:x="1798" w:y="2611"/>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重要逾期利息</w:t>
      </w:r>
    </w:p>
    <w:p>
      <w:pPr>
        <w:framePr w:w="2477" w:x="1798" w:y="2611"/>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77" w:x="1798" w:y="2611"/>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坏账准备计提情况</w:t>
      </w:r>
    </w:p>
    <w:p>
      <w:pPr>
        <w:framePr w:w="2477" w:x="1798" w:y="2611"/>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54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5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61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应收股利</w:t>
      </w:r>
    </w:p>
    <w:p>
      <w:pPr>
        <w:framePr w:w="1644" w:x="1798" w:y="6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应收股利</w:t>
      </w:r>
    </w:p>
    <w:p>
      <w:pPr>
        <w:framePr w:w="1817" w:x="1798" w:y="70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771" w:x="1798" w:y="7548"/>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重要的账龄超过</w:t>
      </w:r>
      <w:r>
        <w:rPr>
          <w:rFonts w:eastAsiaTheme="minorEastAsia" w:hAnsiTheme="minorHAnsi" w:cstheme="minorBidi"/>
          <w:color w:val="000000"/>
          <w:spacing w:val="1"/>
          <w:sz w:val="21"/>
          <w:szCs w:val="22"/>
          <w:lang w:val="en-US" w:eastAsia="en-US" w:bidi="ar-SA"/>
        </w:rPr>
        <w:t xml:space="preserve"> </w:t>
      </w:r>
      <w:r>
        <w:rPr>
          <w:rFonts w:ascii="Cambria" w:eastAsiaTheme="minorEastAsia" w:hAnsiTheme="minorHAnsi" w:cstheme="minorBidi"/>
          <w:b/>
          <w:color w:val="000000"/>
          <w:sz w:val="21"/>
          <w:szCs w:val="22"/>
          <w:lang w:val="en-US" w:eastAsia="en-US" w:bidi="ar-SA"/>
        </w:rPr>
        <w:t>1</w:t>
      </w:r>
      <w:r>
        <w:rPr>
          <w:rFonts w:ascii="Cambria" w:eastAsiaTheme="minorEastAsia" w:hAnsiTheme="minorHAnsi" w:cstheme="minorBidi"/>
          <w:b/>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年的应收股利</w:t>
      </w:r>
    </w:p>
    <w:p>
      <w:pPr>
        <w:framePr w:w="3771" w:x="1798" w:y="7548"/>
        <w:widowControl w:val="0"/>
        <w:autoSpaceDE w:val="0"/>
        <w:autoSpaceDN w:val="0"/>
        <w:spacing w:before="24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89" w:x="1798" w:y="8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坏账准备计提情况</w:t>
      </w:r>
    </w:p>
    <w:p>
      <w:pPr>
        <w:framePr w:w="2489" w:x="1798" w:y="850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95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99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855" w:x="1798" w:y="110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按账龄披露</w:t>
      </w:r>
    </w:p>
    <w:p>
      <w:pPr>
        <w:framePr w:w="1855" w:x="1798" w:y="11000"/>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√适用□不适用</w:t>
      </w:r>
    </w:p>
    <w:p>
      <w:pPr>
        <w:framePr w:w="2981" w:x="7893" w:y="11742"/>
        <w:widowControl w:val="0"/>
        <w:autoSpaceDE w:val="0"/>
        <w:autoSpaceDN w:val="0"/>
        <w:spacing w:line="211" w:lineRule="exact"/>
        <w:ind w:left="42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981" w:x="7893" w:y="1174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2647" w:x="1798" w:y="12025"/>
        <w:widowControl w:val="0"/>
        <w:autoSpaceDE w:val="0"/>
        <w:autoSpaceDN w:val="0"/>
        <w:spacing w:line="211" w:lineRule="exact"/>
        <w:ind w:left="19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2647" w:x="1798" w:y="1202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12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258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258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507" w:x="9372" w:y="128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1,474,119.74</w:t>
      </w:r>
    </w:p>
    <w:p>
      <w:pPr>
        <w:framePr w:w="1507" w:x="9372" w:y="12870"/>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7,188.20</w:t>
      </w:r>
    </w:p>
    <w:p>
      <w:pPr>
        <w:framePr w:w="1030" w:x="1798" w:y="13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507" w:x="9372" w:y="13437"/>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12,500.00</w:t>
      </w:r>
    </w:p>
    <w:p>
      <w:pPr>
        <w:framePr w:w="1507" w:x="9372" w:y="13437"/>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p>
    <w:p>
      <w:pPr>
        <w:framePr w:w="1507" w:x="9372" w:y="13437"/>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45,500.00</w:t>
      </w:r>
    </w:p>
    <w:p>
      <w:pPr>
        <w:framePr w:w="1507" w:x="9372" w:y="1343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1,549,307.94</w:t>
      </w:r>
    </w:p>
    <w:p>
      <w:pPr>
        <w:framePr w:w="1030" w:x="1798" w:y="13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140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年以上</w:t>
      </w:r>
    </w:p>
    <w:p>
      <w:pPr>
        <w:framePr w:w="662" w:x="3783" w:y="142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11" type="#_x0000_t75" style="width:445.6pt;height:2.7pt;margin-top:53.65pt;margin-left:87.45pt;mso-position-horizontal-relative:page;mso-position-vertical-relative:page;position:absolute;z-index:-251451392">
            <v:imagedata r:id="rId149" o:title=""/>
          </v:shape>
        </w:pict>
      </w:r>
      <w:r>
        <w:rPr>
          <w:noProof/>
        </w:rPr>
        <w:pict>
          <v:shape id="_x0000_s1212" type="#_x0000_t75" style="width:455.55pt;height:129.6pt;margin-top:598.15pt;margin-left:83pt;mso-position-horizontal-relative:page;mso-position-vertical-relative:page;position:absolute;z-index:-251560960">
            <v:imagedata r:id="rId150" o:title=""/>
          </v:shape>
        </w:pict>
      </w:r>
    </w:p>
    <w:p>
      <w:pPr>
        <w:spacing w:line="0" w:lineRule="atLeast"/>
        <w:rPr>
          <w:rFonts w:ascii="Arial" w:eastAsiaTheme="minorEastAsia" w:hAnsiTheme="minorHAnsi" w:cstheme="minorBidi"/>
          <w:color w:val="FF0000"/>
          <w:sz w:val="2"/>
          <w:szCs w:val="22"/>
          <w:lang w:val="en-US" w:eastAsia="en-US" w:bidi="ar-SA"/>
        </w:rPr>
      </w:pPr>
      <w:bookmarkStart w:id="96" w:name="br1_95"/>
      <w:bookmarkEnd w:id="9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70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按款项性质分类情况</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140"/>
        <w:widowControl w:val="0"/>
        <w:autoSpaceDE w:val="0"/>
        <w:autoSpaceDN w:val="0"/>
        <w:spacing w:before="72" w:line="211" w:lineRule="exact"/>
        <w:ind w:left="29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期初账面余额</w:t>
      </w:r>
    </w:p>
    <w:p>
      <w:pPr>
        <w:framePr w:w="2554" w:x="8320" w:y="2140"/>
        <w:widowControl w:val="0"/>
        <w:autoSpaceDE w:val="0"/>
        <w:autoSpaceDN w:val="0"/>
        <w:spacing w:before="72" w:line="211" w:lineRule="exact"/>
        <w:ind w:left="126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236,122.00</w:t>
      </w:r>
    </w:p>
    <w:p>
      <w:pPr>
        <w:framePr w:w="2093" w:x="1798" w:y="2424"/>
        <w:widowControl w:val="0"/>
        <w:autoSpaceDE w:val="0"/>
        <w:autoSpaceDN w:val="0"/>
        <w:spacing w:line="211" w:lineRule="exact"/>
        <w:ind w:left="101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款项性质</w:t>
      </w:r>
    </w:p>
    <w:p>
      <w:pPr>
        <w:framePr w:w="2093" w:x="1798" w:y="242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保证金、押金</w:t>
      </w:r>
    </w:p>
    <w:p>
      <w:pPr>
        <w:framePr w:w="2093" w:x="1798" w:y="242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备用金</w:t>
      </w:r>
    </w:p>
    <w:p>
      <w:pPr>
        <w:framePr w:w="1507" w:x="5624" w:y="2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1190" w:x="6693" w:y="27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63,414.20</w:t>
      </w:r>
    </w:p>
    <w:p>
      <w:pPr>
        <w:framePr w:w="1507" w:x="6378" w:y="2988"/>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6,000.00</w:t>
      </w:r>
    </w:p>
    <w:p>
      <w:pPr>
        <w:framePr w:w="1507" w:x="6378" w:y="2988"/>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204,156.00</w:t>
      </w:r>
    </w:p>
    <w:p>
      <w:pPr>
        <w:framePr w:w="1507" w:x="6378" w:y="2988"/>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701,005.51</w:t>
      </w:r>
    </w:p>
    <w:p>
      <w:pPr>
        <w:framePr w:w="1507" w:x="6378" w:y="2988"/>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574,732.23</w:t>
      </w:r>
    </w:p>
    <w:p>
      <w:pPr>
        <w:framePr w:w="1507" w:x="6378" w:y="298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1,549,307.94</w:t>
      </w:r>
    </w:p>
    <w:p>
      <w:pPr>
        <w:framePr w:w="1190" w:x="9686" w:y="29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17,538.85</w:t>
      </w:r>
    </w:p>
    <w:p>
      <w:pPr>
        <w:framePr w:w="874" w:x="1798" w:y="3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暂借款</w:t>
      </w:r>
    </w:p>
    <w:p>
      <w:pPr>
        <w:framePr w:w="1190" w:x="9686" w:y="32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85,534.60</w:t>
      </w:r>
    </w:p>
    <w:p>
      <w:pPr>
        <w:framePr w:w="874" w:x="1798" w:y="35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296" w:x="9580" w:y="35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360,662.29</w:t>
      </w:r>
    </w:p>
    <w:p>
      <w:pPr>
        <w:framePr w:w="1882" w:x="1798" w:y="38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应收出口退税</w:t>
      </w:r>
    </w:p>
    <w:p>
      <w:pPr>
        <w:framePr w:w="1882" w:x="1798" w:y="3835"/>
        <w:widowControl w:val="0"/>
        <w:autoSpaceDE w:val="0"/>
        <w:autoSpaceDN w:val="0"/>
        <w:spacing w:before="72" w:line="211" w:lineRule="exact"/>
        <w:ind w:left="121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9372" w:y="38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1,694,319.46</w:t>
      </w:r>
    </w:p>
    <w:p>
      <w:pPr>
        <w:framePr w:w="1507" w:x="9372" w:y="383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2,394,177.20</w:t>
      </w:r>
    </w:p>
    <w:p>
      <w:pPr>
        <w:framePr w:w="2489" w:x="1798" w:y="50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坏账准备计提情况</w:t>
      </w:r>
    </w:p>
    <w:p>
      <w:pPr>
        <w:framePr w:w="1817" w:x="1798" w:y="5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5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3862" w:y="5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第一阶段</w:t>
      </w:r>
    </w:p>
    <w:p>
      <w:pPr>
        <w:framePr w:w="1085" w:x="5634" w:y="5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第二阶段</w:t>
      </w:r>
    </w:p>
    <w:p>
      <w:pPr>
        <w:framePr w:w="1085" w:x="7619" w:y="5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第三阶段</w:t>
      </w:r>
    </w:p>
    <w:p>
      <w:pPr>
        <w:framePr w:w="3908" w:x="5214" w:y="6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整个存续期预期信</w:t>
      </w:r>
      <w:r>
        <w:rPr>
          <w:rFonts w:eastAsiaTheme="minorEastAsia" w:hAnsiTheme="minorHAnsi" w:cstheme="minorBidi"/>
          <w:color w:val="000000"/>
          <w:spacing w:val="251"/>
          <w:sz w:val="21"/>
          <w:szCs w:val="22"/>
          <w:lang w:val="en-US" w:eastAsia="en-US" w:bidi="ar-SA"/>
        </w:rPr>
        <w:t xml:space="preserve"> </w:t>
      </w:r>
      <w:r>
        <w:rPr>
          <w:rFonts w:ascii="SimSun" w:hAnsi="SimSun" w:eastAsiaTheme="minorEastAsia" w:cs="SimSun"/>
          <w:color w:val="000000"/>
          <w:sz w:val="21"/>
          <w:szCs w:val="22"/>
          <w:lang w:val="en-US" w:eastAsia="en-US" w:bidi="ar-SA"/>
        </w:rPr>
        <w:t>整个存续期预期信</w:t>
      </w:r>
    </w:p>
    <w:p>
      <w:pPr>
        <w:framePr w:w="1085" w:x="2175" w:y="6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507" w:x="3651" w:y="6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未来</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个月预</w:t>
      </w:r>
    </w:p>
    <w:p>
      <w:pPr>
        <w:framePr w:w="662" w:x="9676" w:y="6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824" w:x="5267" w:y="64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未发生信</w:t>
      </w:r>
    </w:p>
    <w:p>
      <w:pPr>
        <w:framePr w:w="1824" w:x="5267" w:y="6447"/>
        <w:widowControl w:val="0"/>
        <w:autoSpaceDE w:val="0"/>
        <w:autoSpaceDN w:val="0"/>
        <w:spacing w:before="62"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用减值</w:t>
      </w:r>
      <w:r>
        <w:rPr>
          <w:rFonts w:ascii="SimSun" w:eastAsiaTheme="minorEastAsia" w:hAnsiTheme="minorHAnsi" w:cstheme="minorBidi"/>
          <w:color w:val="000000"/>
          <w:sz w:val="21"/>
          <w:szCs w:val="22"/>
          <w:lang w:val="en-US" w:eastAsia="en-US" w:bidi="ar-SA"/>
        </w:rPr>
        <w:t>)</w:t>
      </w:r>
    </w:p>
    <w:p>
      <w:pPr>
        <w:framePr w:w="1824" w:x="7252" w:y="64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已发生信</w:t>
      </w:r>
    </w:p>
    <w:p>
      <w:pPr>
        <w:framePr w:w="1824" w:x="7252" w:y="6447"/>
        <w:widowControl w:val="0"/>
        <w:autoSpaceDE w:val="0"/>
        <w:autoSpaceDN w:val="0"/>
        <w:spacing w:before="62" w:line="211" w:lineRule="exact"/>
        <w:ind w:left="42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用减值</w:t>
      </w:r>
      <w:r>
        <w:rPr>
          <w:rFonts w:ascii="SimSun" w:eastAsiaTheme="minorEastAsia" w:hAnsiTheme="minorHAnsi" w:cstheme="minorBidi"/>
          <w:color w:val="000000"/>
          <w:sz w:val="21"/>
          <w:szCs w:val="22"/>
          <w:lang w:val="en-US" w:eastAsia="en-US" w:bidi="ar-SA"/>
        </w:rPr>
        <w:t>)</w:t>
      </w:r>
    </w:p>
    <w:p>
      <w:pPr>
        <w:framePr w:w="1296" w:x="3756" w:y="65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期信用损失</w:t>
      </w:r>
    </w:p>
    <w:p>
      <w:pPr>
        <w:framePr w:w="1838" w:x="1798" w:y="70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
          <w:sz w:val="21"/>
          <w:szCs w:val="22"/>
          <w:lang w:val="en-US" w:eastAsia="en-US" w:bidi="ar-SA"/>
        </w:rPr>
        <w:t>2020</w:t>
      </w:r>
      <w:r>
        <w:rPr>
          <w:rFonts w:ascii="SimSun" w:hAnsi="SimSun" w:eastAsiaTheme="minorEastAsia" w:cs="SimSun"/>
          <w:color w:val="000000"/>
          <w:spacing w:val="23"/>
          <w:sz w:val="21"/>
          <w:szCs w:val="22"/>
          <w:lang w:val="en-US" w:eastAsia="en-US" w:bidi="ar-SA"/>
        </w:rPr>
        <w:t>年</w:t>
      </w:r>
      <w:r>
        <w:rPr>
          <w:rFonts w:ascii="SimSun" w:eastAsiaTheme="minorEastAsia" w:hAnsiTheme="minorHAnsi" w:cstheme="minorBidi"/>
          <w:color w:val="000000"/>
          <w:spacing w:val="20"/>
          <w:sz w:val="21"/>
          <w:szCs w:val="22"/>
          <w:lang w:val="en-US" w:eastAsia="en-US" w:bidi="ar-SA"/>
        </w:rPr>
        <w:t>1</w:t>
      </w:r>
      <w:r>
        <w:rPr>
          <w:rFonts w:ascii="SimSun" w:hAnsi="SimSun" w:eastAsiaTheme="minorEastAsia" w:cs="SimSun"/>
          <w:color w:val="000000"/>
          <w:spacing w:val="20"/>
          <w:sz w:val="21"/>
          <w:szCs w:val="22"/>
          <w:lang w:val="en-US" w:eastAsia="en-US" w:bidi="ar-SA"/>
        </w:rPr>
        <w:t>月</w:t>
      </w:r>
      <w:r>
        <w:rPr>
          <w:rFonts w:ascii="SimSun" w:eastAsiaTheme="minorEastAsia" w:hAnsiTheme="minorHAnsi" w:cstheme="minorBidi"/>
          <w:color w:val="000000"/>
          <w:spacing w:val="22"/>
          <w:sz w:val="21"/>
          <w:szCs w:val="22"/>
          <w:lang w:val="en-US" w:eastAsia="en-US" w:bidi="ar-SA"/>
        </w:rPr>
        <w:t>1</w:t>
      </w:r>
      <w:r>
        <w:rPr>
          <w:rFonts w:ascii="SimSun" w:hAnsi="SimSun" w:eastAsiaTheme="minorEastAsia" w:cs="SimSun"/>
          <w:color w:val="000000"/>
          <w:spacing w:val="20"/>
          <w:sz w:val="21"/>
          <w:szCs w:val="22"/>
          <w:lang w:val="en-US" w:eastAsia="en-US" w:bidi="ar-SA"/>
        </w:rPr>
        <w:t>日余</w:t>
      </w:r>
    </w:p>
    <w:p>
      <w:pPr>
        <w:framePr w:w="1838" w:x="1798" w:y="700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296" w:x="5888" w:y="70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191,875.13</w:t>
      </w:r>
    </w:p>
    <w:p>
      <w:pPr>
        <w:framePr w:w="1296" w:x="9580" w:y="70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191,875.13</w:t>
      </w:r>
    </w:p>
    <w:p>
      <w:pPr>
        <w:framePr w:w="1838" w:x="1798" w:y="7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
          <w:sz w:val="21"/>
          <w:szCs w:val="22"/>
          <w:lang w:val="en-US" w:eastAsia="en-US" w:bidi="ar-SA"/>
        </w:rPr>
        <w:t>2020</w:t>
      </w:r>
      <w:r>
        <w:rPr>
          <w:rFonts w:ascii="SimSun" w:hAnsi="SimSun" w:eastAsiaTheme="minorEastAsia" w:cs="SimSun"/>
          <w:color w:val="000000"/>
          <w:spacing w:val="23"/>
          <w:sz w:val="21"/>
          <w:szCs w:val="22"/>
          <w:lang w:val="en-US" w:eastAsia="en-US" w:bidi="ar-SA"/>
        </w:rPr>
        <w:t>年</w:t>
      </w:r>
      <w:r>
        <w:rPr>
          <w:rFonts w:ascii="SimSun" w:eastAsiaTheme="minorEastAsia" w:hAnsiTheme="minorHAnsi" w:cstheme="minorBidi"/>
          <w:color w:val="000000"/>
          <w:spacing w:val="20"/>
          <w:sz w:val="21"/>
          <w:szCs w:val="22"/>
          <w:lang w:val="en-US" w:eastAsia="en-US" w:bidi="ar-SA"/>
        </w:rPr>
        <w:t>1</w:t>
      </w:r>
      <w:r>
        <w:rPr>
          <w:rFonts w:ascii="SimSun" w:hAnsi="SimSun" w:eastAsiaTheme="minorEastAsia" w:cs="SimSun"/>
          <w:color w:val="000000"/>
          <w:spacing w:val="20"/>
          <w:sz w:val="21"/>
          <w:szCs w:val="22"/>
          <w:lang w:val="en-US" w:eastAsia="en-US" w:bidi="ar-SA"/>
        </w:rPr>
        <w:t>月</w:t>
      </w:r>
      <w:r>
        <w:rPr>
          <w:rFonts w:ascii="SimSun" w:eastAsiaTheme="minorEastAsia" w:hAnsiTheme="minorHAnsi" w:cstheme="minorBidi"/>
          <w:color w:val="000000"/>
          <w:spacing w:val="22"/>
          <w:sz w:val="21"/>
          <w:szCs w:val="22"/>
          <w:lang w:val="en-US" w:eastAsia="en-US" w:bidi="ar-SA"/>
        </w:rPr>
        <w:t>1</w:t>
      </w:r>
      <w:r>
        <w:rPr>
          <w:rFonts w:ascii="SimSun" w:hAnsi="SimSun" w:eastAsiaTheme="minorEastAsia" w:cs="SimSun"/>
          <w:color w:val="000000"/>
          <w:spacing w:val="20"/>
          <w:sz w:val="21"/>
          <w:szCs w:val="22"/>
          <w:lang w:val="en-US" w:eastAsia="en-US" w:bidi="ar-SA"/>
        </w:rPr>
        <w:t>日余</w:t>
      </w:r>
    </w:p>
    <w:p>
      <w:pPr>
        <w:framePr w:w="1838" w:x="1798" w:y="755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额在本期</w:t>
      </w:r>
    </w:p>
    <w:p>
      <w:pPr>
        <w:framePr w:w="1718" w:x="1798" w:y="8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转入第二阶段</w:t>
      </w:r>
    </w:p>
    <w:p>
      <w:pPr>
        <w:framePr w:w="1718" w:x="1798" w:y="81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转入第三阶段</w:t>
      </w:r>
    </w:p>
    <w:p>
      <w:pPr>
        <w:framePr w:w="1718" w:x="1798" w:y="8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转回第二阶段</w:t>
      </w:r>
    </w:p>
    <w:p>
      <w:pPr>
        <w:framePr w:w="1718" w:x="1798" w:y="811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转回第一阶段</w:t>
      </w:r>
    </w:p>
    <w:p>
      <w:pPr>
        <w:framePr w:w="1718" w:x="1798" w:y="8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本期计提</w:t>
      </w:r>
    </w:p>
    <w:p>
      <w:pPr>
        <w:framePr w:w="1085" w:x="1798" w:y="95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本期转回</w:t>
      </w:r>
    </w:p>
    <w:p>
      <w:pPr>
        <w:framePr w:w="1190" w:x="5994" w:y="9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60,231.51</w:t>
      </w:r>
    </w:p>
    <w:p>
      <w:pPr>
        <w:framePr w:w="1190" w:x="9686" w:y="9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60,231.51</w:t>
      </w:r>
    </w:p>
    <w:p>
      <w:pPr>
        <w:framePr w:w="1085" w:x="1798" w:y="9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本期转销</w:t>
      </w:r>
    </w:p>
    <w:p>
      <w:pPr>
        <w:framePr w:w="1085" w:x="1798" w:y="10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本期核销</w:t>
      </w:r>
    </w:p>
    <w:p>
      <w:pPr>
        <w:framePr w:w="1085" w:x="1798" w:y="103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1824" w:x="1798" w:y="106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1"/>
          <w:sz w:val="21"/>
          <w:szCs w:val="22"/>
          <w:lang w:val="en-US" w:eastAsia="en-US" w:bidi="ar-SA"/>
        </w:rPr>
        <w:t>30</w:t>
      </w:r>
      <w:r>
        <w:rPr>
          <w:rFonts w:ascii="SimSun" w:hAnsi="SimSun" w:eastAsiaTheme="minorEastAsia" w:cs="SimSun"/>
          <w:color w:val="000000"/>
          <w:spacing w:val="-1"/>
          <w:sz w:val="21"/>
          <w:szCs w:val="22"/>
          <w:lang w:val="en-US" w:eastAsia="en-US" w:bidi="ar-SA"/>
        </w:rPr>
        <w:t>日余</w:t>
      </w:r>
    </w:p>
    <w:p>
      <w:pPr>
        <w:framePr w:w="1824" w:x="1798" w:y="1065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额</w:t>
      </w:r>
    </w:p>
    <w:p>
      <w:pPr>
        <w:framePr w:w="1296" w:x="5888" w:y="106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131,643.62</w:t>
      </w:r>
    </w:p>
    <w:p>
      <w:pPr>
        <w:framePr w:w="1296" w:x="9580" w:y="106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131,643.62</w:t>
      </w:r>
    </w:p>
    <w:p>
      <w:pPr>
        <w:framePr w:w="6787" w:x="1798" w:y="11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对本期发生损失准备变动的其他应收款账面余额显著变动的情况说明：</w:t>
      </w:r>
    </w:p>
    <w:p>
      <w:pPr>
        <w:framePr w:w="6787" w:x="1798" w:y="1148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124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本期坏账准备计提金额以及评估金融工具的信用风险是否显著增加的采用依据：</w:t>
      </w:r>
    </w:p>
    <w:p>
      <w:pPr>
        <w:framePr w:w="7632" w:x="1798" w:y="1243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78" w:x="1798" w:y="134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坏账准备的情况</w:t>
      </w:r>
    </w:p>
    <w:p>
      <w:pPr>
        <w:framePr w:w="1817" w:x="1798" w:y="13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4051"/>
        <w:widowControl w:val="0"/>
        <w:autoSpaceDE w:val="0"/>
        <w:autoSpaceDN w:val="0"/>
        <w:spacing w:before="348" w:line="211" w:lineRule="exact"/>
        <w:ind w:left="136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300" w:x="6001" w:y="14334"/>
        <w:widowControl w:val="0"/>
        <w:autoSpaceDE w:val="0"/>
        <w:autoSpaceDN w:val="0"/>
        <w:spacing w:line="211" w:lineRule="exact"/>
        <w:ind w:left="49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2300" w:x="6001" w:y="1433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收回或转</w:t>
      </w:r>
      <w:r>
        <w:rPr>
          <w:rFonts w:eastAsiaTheme="minorEastAsia" w:hAnsiTheme="minorHAnsi" w:cstheme="minorBidi"/>
          <w:color w:val="000000"/>
          <w:spacing w:val="323"/>
          <w:sz w:val="21"/>
          <w:szCs w:val="22"/>
          <w:lang w:val="en-US" w:eastAsia="en-US" w:bidi="ar-SA"/>
        </w:rPr>
        <w:t xml:space="preserve"> </w:t>
      </w:r>
      <w:r>
        <w:rPr>
          <w:rFonts w:ascii="SimSun" w:hAnsi="SimSun" w:eastAsiaTheme="minorEastAsia" w:cs="SimSun"/>
          <w:color w:val="000000"/>
          <w:sz w:val="21"/>
          <w:szCs w:val="22"/>
          <w:lang w:val="en-US" w:eastAsia="en-US" w:bidi="ar-SA"/>
        </w:rPr>
        <w:t>转销或核</w:t>
      </w:r>
    </w:p>
    <w:p>
      <w:pPr>
        <w:framePr w:w="662" w:x="2084" w:y="146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644" w:y="146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5084" w:y="1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085" w:x="8440" w:y="1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451" w:x="6315" w:y="148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w:t>
      </w:r>
    </w:p>
    <w:p>
      <w:pPr>
        <w:framePr w:w="451" w:x="7533" w:y="148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13" type="#_x0000_t75" style="width:445.6pt;height:2.7pt;margin-top:53.65pt;margin-left:87.45pt;mso-position-horizontal-relative:page;mso-position-vertical-relative:page;position:absolute;z-index:-251332608">
            <v:imagedata r:id="rId151" o:title=""/>
          </v:shape>
        </w:pict>
      </w:r>
      <w:r>
        <w:rPr>
          <w:noProof/>
        </w:rPr>
        <w:pict>
          <v:shape id="_x0000_s1214" type="#_x0000_t75" style="width:454.95pt;height:101.35pt;margin-top:118.2pt;margin-left:83.25pt;mso-position-horizontal-relative:page;mso-position-vertical-relative:page;position:absolute;z-index:-251376640">
            <v:imagedata r:id="rId152" o:title=""/>
          </v:shape>
        </w:pict>
      </w:r>
      <w:r>
        <w:rPr>
          <w:noProof/>
        </w:rPr>
        <w:pict>
          <v:shape id="_x0000_s1215" type="#_x0000_t75" style="width:454.95pt;height:268.2pt;margin-top:291.65pt;margin-left:83.25pt;mso-position-horizontal-relative:page;mso-position-vertical-relative:page;position:absolute;z-index:-251450368">
            <v:imagedata r:id="rId153" o:title=""/>
          </v:shape>
        </w:pict>
      </w:r>
      <w:r>
        <w:rPr>
          <w:noProof/>
        </w:rPr>
        <w:pict>
          <v:shape id="_x0000_s1216" type="#_x0000_t75" style="width:478.25pt;height:44.35pt;margin-top:713.75pt;margin-left:60.3pt;mso-position-horizontal-relative:page;mso-position-vertical-relative:page;position:absolute;z-index:-251559936">
            <v:imagedata r:id="rId154" o:title=""/>
          </v:shape>
        </w:pict>
      </w:r>
    </w:p>
    <w:p>
      <w:pPr>
        <w:spacing w:line="0" w:lineRule="atLeast"/>
        <w:rPr>
          <w:rFonts w:ascii="Arial" w:eastAsiaTheme="minorEastAsia" w:hAnsiTheme="minorHAnsi" w:cstheme="minorBidi"/>
          <w:color w:val="FF0000"/>
          <w:sz w:val="2"/>
          <w:szCs w:val="22"/>
          <w:lang w:val="en-US" w:eastAsia="en-US" w:bidi="ar-SA"/>
        </w:rPr>
      </w:pPr>
      <w:bookmarkStart w:id="97" w:name="br1_96"/>
      <w:bookmarkEnd w:id="9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482" w:x="134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其他应收款坏账准备</w:t>
      </w:r>
      <w:r>
        <w:rPr>
          <w:rFonts w:eastAsiaTheme="minorEastAsia" w:hAnsiTheme="minorHAnsi" w:cstheme="minorBidi"/>
          <w:color w:val="000000"/>
          <w:spacing w:val="24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191,875.13</w:t>
      </w:r>
    </w:p>
    <w:p>
      <w:pPr>
        <w:framePr w:w="3482" w:x="1349" w:y="1547"/>
        <w:widowControl w:val="0"/>
        <w:autoSpaceDE w:val="0"/>
        <w:autoSpaceDN w:val="0"/>
        <w:spacing w:before="70" w:line="211" w:lineRule="exact"/>
        <w:ind w:left="734"/>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97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191,875.13</w:t>
      </w:r>
    </w:p>
    <w:p>
      <w:pPr>
        <w:framePr w:w="1190" w:x="594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60,231.51</w:t>
      </w:r>
    </w:p>
    <w:p>
      <w:pPr>
        <w:framePr w:w="1190" w:x="5948"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60,231.51</w:t>
      </w:r>
    </w:p>
    <w:p>
      <w:pPr>
        <w:framePr w:w="1296" w:x="958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131,643.62</w:t>
      </w:r>
    </w:p>
    <w:p>
      <w:pPr>
        <w:framePr w:w="1296" w:x="9583"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131,643.62</w:t>
      </w:r>
    </w:p>
    <w:p>
      <w:pPr>
        <w:framePr w:w="4253"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其中本期坏账准备转回或收回金额重要的：</w:t>
      </w:r>
    </w:p>
    <w:p>
      <w:pPr>
        <w:framePr w:w="1817" w:x="1798" w:y="2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751" w:x="1798" w:y="2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本期实际核销的其他应收款情况</w:t>
      </w:r>
    </w:p>
    <w:p>
      <w:pPr>
        <w:framePr w:w="1817" w:x="1798" w:y="3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439" w:x="1798" w:y="4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按欠款方归集的期末余额前五名的其他应收款情况</w:t>
      </w:r>
    </w:p>
    <w:p>
      <w:pPr>
        <w:framePr w:w="1817" w:x="1798" w:y="43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6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718" w:x="7415" w:y="4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占其他应收款期</w:t>
      </w:r>
    </w:p>
    <w:p>
      <w:pPr>
        <w:framePr w:w="1085" w:x="9422" w:y="50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9422" w:y="508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330" w:x="1798" w:y="5223"/>
        <w:widowControl w:val="0"/>
        <w:autoSpaceDE w:val="0"/>
        <w:autoSpaceDN w:val="0"/>
        <w:spacing w:line="211" w:lineRule="exact"/>
        <w:ind w:left="24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330" w:x="1798" w:y="5223"/>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单位一</w:t>
      </w:r>
    </w:p>
    <w:p>
      <w:pPr>
        <w:framePr w:w="1296" w:x="3370" w:y="5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款项的性质</w:t>
      </w:r>
    </w:p>
    <w:p>
      <w:pPr>
        <w:framePr w:w="1085" w:x="4835" w:y="5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6390" w:y="5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1812" w:x="7415" w:y="5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末余额合计数的</w:t>
      </w:r>
    </w:p>
    <w:p>
      <w:pPr>
        <w:framePr w:w="1812" w:x="7415" w:y="5223"/>
        <w:widowControl w:val="0"/>
        <w:autoSpaceDE w:val="0"/>
        <w:autoSpaceDN w:val="0"/>
        <w:spacing w:before="60" w:line="211" w:lineRule="exact"/>
        <w:ind w:left="367"/>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1812" w:x="7415" w:y="5223"/>
        <w:widowControl w:val="0"/>
        <w:autoSpaceDE w:val="0"/>
        <w:autoSpaceDN w:val="0"/>
        <w:spacing w:before="72" w:line="211" w:lineRule="exact"/>
        <w:ind w:left="104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37.10</w:t>
      </w:r>
    </w:p>
    <w:p>
      <w:pPr>
        <w:framePr w:w="1085" w:x="3303" w:y="5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出口退税</w:t>
      </w:r>
    </w:p>
    <w:p>
      <w:pPr>
        <w:framePr w:w="1085" w:x="3303" w:y="57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085" w:x="3303" w:y="57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085" w:x="3303" w:y="57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085" w:x="3303" w:y="57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暂借款</w:t>
      </w:r>
    </w:p>
    <w:p>
      <w:pPr>
        <w:framePr w:w="1085" w:x="3303" w:y="5777"/>
        <w:widowControl w:val="0"/>
        <w:autoSpaceDE w:val="0"/>
        <w:autoSpaceDN w:val="0"/>
        <w:spacing w:before="72" w:line="211" w:lineRule="exact"/>
        <w:ind w:left="54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215" w:x="4835" w:y="5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574,732.23</w:t>
      </w:r>
      <w:r>
        <w:rPr>
          <w:rFonts w:ascii="SimSun" w:eastAsiaTheme="minorEastAsia" w:hAnsiTheme="minorHAnsi" w:cstheme="minorBidi"/>
          <w:color w:val="000000"/>
          <w:spacing w:val="27"/>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215" w:x="4835" w:y="577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217,574.95</w:t>
      </w:r>
      <w:r>
        <w:rPr>
          <w:rFonts w:ascii="SimSun" w:eastAsiaTheme="minorEastAsia" w:hAnsiTheme="minorHAnsi" w:cstheme="minorBidi"/>
          <w:color w:val="000000"/>
          <w:spacing w:val="27"/>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215" w:x="4835" w:y="577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216,346.85</w:t>
      </w:r>
      <w:r>
        <w:rPr>
          <w:rFonts w:ascii="SimSun" w:eastAsiaTheme="minorEastAsia" w:hAnsiTheme="minorHAnsi" w:cstheme="minorBidi"/>
          <w:color w:val="000000"/>
          <w:spacing w:val="27"/>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215" w:x="4835" w:y="5777"/>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58,917.02</w:t>
      </w:r>
      <w:r>
        <w:rPr>
          <w:rFonts w:ascii="SimSun" w:eastAsiaTheme="minorEastAsia" w:hAnsiTheme="minorHAnsi" w:cstheme="minorBidi"/>
          <w:color w:val="000000"/>
          <w:spacing w:val="27"/>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215" w:x="4835" w:y="5777"/>
        <w:widowControl w:val="0"/>
        <w:autoSpaceDE w:val="0"/>
        <w:autoSpaceDN w:val="0"/>
        <w:spacing w:before="70"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58,000.00</w:t>
      </w:r>
      <w:r>
        <w:rPr>
          <w:rFonts w:ascii="SimSun" w:eastAsiaTheme="minorEastAsia" w:hAnsiTheme="minorHAnsi" w:cstheme="minorBidi"/>
          <w:color w:val="000000"/>
          <w:spacing w:val="27"/>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190" w:x="9688" w:y="57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28,736.61</w:t>
      </w:r>
    </w:p>
    <w:p>
      <w:pPr>
        <w:framePr w:w="874" w:x="1798" w:y="6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单位二</w:t>
      </w:r>
    </w:p>
    <w:p>
      <w:pPr>
        <w:framePr w:w="874" w:x="1798" w:y="60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单位三</w:t>
      </w:r>
    </w:p>
    <w:p>
      <w:pPr>
        <w:framePr w:w="874" w:x="1798" w:y="60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单位四</w:t>
      </w:r>
    </w:p>
    <w:p>
      <w:pPr>
        <w:framePr w:w="874" w:x="1798" w:y="605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单位五</w:t>
      </w:r>
    </w:p>
    <w:p>
      <w:pPr>
        <w:framePr w:w="768" w:x="8459" w:y="6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14.04</w:t>
      </w:r>
    </w:p>
    <w:p>
      <w:pPr>
        <w:framePr w:w="1190" w:x="9688" w:y="6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10,878.75</w:t>
      </w:r>
    </w:p>
    <w:p>
      <w:pPr>
        <w:framePr w:w="1190" w:x="9688" w:y="60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10,817.34</w:t>
      </w:r>
    </w:p>
    <w:p>
      <w:pPr>
        <w:framePr w:w="1190" w:x="9688" w:y="605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2,945.85</w:t>
      </w:r>
    </w:p>
    <w:p>
      <w:pPr>
        <w:framePr w:w="1190" w:x="9688" w:y="605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2,900.00</w:t>
      </w:r>
    </w:p>
    <w:p>
      <w:pPr>
        <w:framePr w:w="1190" w:x="9688" w:y="605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56,278.55</w:t>
      </w:r>
    </w:p>
    <w:p>
      <w:pPr>
        <w:framePr w:w="768" w:x="8459" w:y="63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13.96</w:t>
      </w:r>
    </w:p>
    <w:p>
      <w:pPr>
        <w:framePr w:w="662" w:x="8565" w:y="66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3.80</w:t>
      </w:r>
    </w:p>
    <w:p>
      <w:pPr>
        <w:framePr w:w="662" w:x="8565" w:y="69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3.74</w:t>
      </w:r>
    </w:p>
    <w:p>
      <w:pPr>
        <w:framePr w:w="662" w:x="2256" w:y="71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626" w:y="71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1,125,571.05</w:t>
      </w:r>
    </w:p>
    <w:p>
      <w:pPr>
        <w:framePr w:w="346" w:x="6549" w:y="71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768" w:x="8459" w:y="71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72.64</w:t>
      </w:r>
    </w:p>
    <w:p>
      <w:pPr>
        <w:framePr w:w="3120" w:x="1798" w:y="78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涉及政府补助的应收款项</w:t>
      </w:r>
    </w:p>
    <w:p>
      <w:pPr>
        <w:framePr w:w="1817" w:x="1798" w:y="8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596" w:x="1798" w:y="88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因金融资产转移而终止确认的其他应收款</w:t>
      </w:r>
    </w:p>
    <w:p>
      <w:pPr>
        <w:framePr w:w="1817" w:x="1798" w:y="93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647" w:x="1798" w:y="9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转移其他应收款且继续涉入形成的资产、负债的金额</w:t>
      </w:r>
    </w:p>
    <w:p>
      <w:pPr>
        <w:framePr w:w="1817" w:x="1798" w:y="104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13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11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w:t>
      </w:r>
    </w:p>
    <w:p>
      <w:pPr>
        <w:framePr w:w="1817" w:x="1798" w:y="12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存货分类</w:t>
      </w:r>
    </w:p>
    <w:p>
      <w:pPr>
        <w:framePr w:w="1817" w:x="1798" w:y="1230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21" w:x="8253" w:y="12913"/>
        <w:widowControl w:val="0"/>
        <w:autoSpaceDE w:val="0"/>
        <w:autoSpaceDN w:val="0"/>
        <w:spacing w:line="211" w:lineRule="exact"/>
        <w:ind w:left="6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621" w:x="8253" w:y="1291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3644" w:y="131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3368" w:y="134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存货跌价准备</w:t>
      </w:r>
      <w:r>
        <w:rPr>
          <w:rFonts w:ascii="SimSun" w:eastAsiaTheme="minorEastAsia" w:hAnsiTheme="minorHAnsi" w:cstheme="minorBidi"/>
          <w:color w:val="000000"/>
          <w:sz w:val="21"/>
          <w:szCs w:val="22"/>
          <w:lang w:val="en-US" w:eastAsia="en-US" w:bidi="ar-SA"/>
        </w:rPr>
        <w:t>/</w:t>
      </w:r>
    </w:p>
    <w:p>
      <w:pPr>
        <w:framePr w:w="1613" w:x="7909" w:y="134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存货跌价准备</w:t>
      </w:r>
      <w:r>
        <w:rPr>
          <w:rFonts w:ascii="SimSun" w:eastAsiaTheme="minorEastAsia" w:hAnsiTheme="minorHAnsi" w:cstheme="minorBidi"/>
          <w:color w:val="000000"/>
          <w:sz w:val="21"/>
          <w:szCs w:val="22"/>
          <w:lang w:val="en-US" w:eastAsia="en-US" w:bidi="ar-SA"/>
        </w:rPr>
        <w:t>/</w:t>
      </w:r>
    </w:p>
    <w:p>
      <w:pPr>
        <w:framePr w:w="1613" w:x="7909" w:y="13477"/>
        <w:widowControl w:val="0"/>
        <w:autoSpaceDE w:val="0"/>
        <w:autoSpaceDN w:val="0"/>
        <w:spacing w:before="62"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合同履约成本</w:t>
      </w:r>
    </w:p>
    <w:p>
      <w:pPr>
        <w:framePr w:w="1613" w:x="7909" w:y="13477"/>
        <w:widowControl w:val="0"/>
        <w:autoSpaceDE w:val="0"/>
        <w:autoSpaceDN w:val="0"/>
        <w:spacing w:before="60" w:line="211" w:lineRule="exact"/>
        <w:ind w:left="26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662" w:x="948" w:y="1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2144"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507" w:x="3420"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合同履约成本</w:t>
      </w:r>
    </w:p>
    <w:p>
      <w:pPr>
        <w:framePr w:w="1507" w:x="3420" w:y="13751"/>
        <w:widowControl w:val="0"/>
        <w:autoSpaceDE w:val="0"/>
        <w:autoSpaceDN w:val="0"/>
        <w:spacing w:before="60"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085" w:x="5127"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6681"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9739" w:y="13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874" w:x="552" w:y="143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9390" w:x="1829" w:y="143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104,848,324.05</w:t>
      </w:r>
      <w:r>
        <w:rPr>
          <w:rFonts w:ascii="SimSun" w:eastAsiaTheme="minorEastAsia" w:hAnsiTheme="minorHAnsi" w:cstheme="minorBidi"/>
          <w:color w:val="000000"/>
          <w:spacing w:val="-4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13,350,419.66</w:t>
      </w:r>
      <w:r>
        <w:rPr>
          <w:rFonts w:ascii="SimSun" w:eastAsiaTheme="minorEastAsia" w:hAnsiTheme="minorHAnsi" w:cstheme="minorBidi"/>
          <w:color w:val="000000"/>
          <w:spacing w:val="9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91,497,904.39</w:t>
      </w:r>
      <w:r>
        <w:rPr>
          <w:rFonts w:ascii="SimSun" w:eastAsiaTheme="minorEastAsia" w:hAnsiTheme="minorHAnsi" w:cstheme="minorBidi"/>
          <w:color w:val="000000"/>
          <w:spacing w:val="-3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145,913,127.82</w:t>
      </w:r>
      <w:r>
        <w:rPr>
          <w:rFonts w:ascii="SimSun" w:eastAsiaTheme="minorEastAsia" w:hAnsiTheme="minorHAnsi" w:cstheme="minorBidi"/>
          <w:color w:val="000000"/>
          <w:spacing w:val="-3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18,358,271.62</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127,554,856.20</w:t>
      </w:r>
    </w:p>
    <w:p>
      <w:pPr>
        <w:framePr w:w="9390" w:x="1829" w:y="14305"/>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6,645,241.82</w:t>
      </w:r>
      <w:r>
        <w:rPr>
          <w:rFonts w:ascii="SimSun" w:eastAsiaTheme="minorEastAsia" w:hAnsiTheme="minorHAnsi" w:cstheme="minorBidi"/>
          <w:color w:val="000000"/>
          <w:spacing w:val="16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6,645,241.82</w:t>
      </w:r>
      <w:r>
        <w:rPr>
          <w:rFonts w:ascii="SimSun" w:eastAsiaTheme="minorEastAsia" w:hAnsiTheme="minorHAnsi" w:cstheme="minorBidi"/>
          <w:color w:val="000000"/>
          <w:spacing w:val="17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6,284,679.33</w:t>
      </w:r>
      <w:r>
        <w:rPr>
          <w:rFonts w:ascii="SimSun" w:eastAsiaTheme="minorEastAsia" w:hAnsiTheme="minorHAnsi" w:cstheme="minorBidi"/>
          <w:color w:val="000000"/>
          <w:spacing w:val="177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6,284,679.33</w:t>
      </w:r>
    </w:p>
    <w:p>
      <w:pPr>
        <w:framePr w:w="874" w:x="552" w:y="14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在产品</w:t>
      </w:r>
    </w:p>
    <w:p>
      <w:pPr>
        <w:framePr w:w="1085" w:x="552" w:y="14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库存商品</w:t>
      </w:r>
    </w:p>
    <w:p>
      <w:pPr>
        <w:framePr w:w="9390" w:x="1829" w:y="148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165,689,166.21</w:t>
      </w:r>
      <w:r>
        <w:rPr>
          <w:rFonts w:ascii="SimSun" w:eastAsiaTheme="minorEastAsia" w:hAnsiTheme="minorHAnsi" w:cstheme="minorBidi"/>
          <w:color w:val="000000"/>
          <w:spacing w:val="6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6,947,911.20</w:t>
      </w:r>
      <w:r>
        <w:rPr>
          <w:rFonts w:ascii="SimSun"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158,741,255.01</w:t>
      </w:r>
      <w:r>
        <w:rPr>
          <w:rFonts w:ascii="SimSun" w:eastAsiaTheme="minorEastAsia" w:hAnsiTheme="minorHAnsi" w:cstheme="minorBidi"/>
          <w:color w:val="000000"/>
          <w:spacing w:val="-3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202,301,474.98</w:t>
      </w:r>
      <w:r>
        <w:rPr>
          <w:rFonts w:ascii="SimSun" w:eastAsiaTheme="minorEastAsia" w:hAnsiTheme="minorHAnsi" w:cstheme="minorBidi"/>
          <w:color w:val="000000"/>
          <w:spacing w:val="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2,963,673.62</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199,337,801.36</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17" type="#_x0000_t75" style="width:445.6pt;height:2.7pt;margin-top:53.65pt;margin-left:87.45pt;mso-position-horizontal-relative:page;mso-position-vertical-relative:page;position:absolute;z-index:-251331584">
            <v:imagedata r:id="rId155" o:title=""/>
          </v:shape>
        </w:pict>
      </w:r>
      <w:r>
        <w:rPr>
          <w:noProof/>
        </w:rPr>
        <w:pict>
          <v:shape id="_x0000_s1218" type="#_x0000_t75" style="width:478.25pt;height:30.8pt;margin-top:74.3pt;margin-left:60.3pt;mso-position-horizontal-relative:page;mso-position-vertical-relative:page;position:absolute;z-index:-251375616">
            <v:imagedata r:id="rId156" o:title=""/>
          </v:shape>
        </w:pict>
      </w:r>
      <w:r>
        <w:rPr>
          <w:noProof/>
        </w:rPr>
        <w:pict>
          <v:shape id="_x0000_s1219" type="#_x0000_t75" style="width:447.3pt;height:128.65pt;margin-top:244.45pt;margin-left:87.1pt;mso-position-horizontal-relative:page;mso-position-vertical-relative:page;position:absolute;z-index:-251449344">
            <v:imagedata r:id="rId157" o:title=""/>
          </v:shape>
        </w:pict>
      </w:r>
      <w:r>
        <w:rPr>
          <w:noProof/>
        </w:rPr>
        <w:pict>
          <v:shape id="_x0000_s1220" type="#_x0000_t75" style="width:527.2pt;height:100.3pt;margin-top:656.85pt;margin-left:24.8pt;mso-position-horizontal-relative:page;mso-position-vertical-relative:page;position:absolute;z-index:-251558912">
            <v:imagedata r:id="rId158" o:title=""/>
          </v:shape>
        </w:pict>
      </w:r>
    </w:p>
    <w:p>
      <w:pPr>
        <w:spacing w:line="0" w:lineRule="atLeast"/>
        <w:rPr>
          <w:rFonts w:ascii="Arial" w:eastAsiaTheme="minorEastAsia" w:hAnsiTheme="minorHAnsi" w:cstheme="minorBidi"/>
          <w:color w:val="FF0000"/>
          <w:sz w:val="2"/>
          <w:szCs w:val="22"/>
          <w:lang w:val="en-US" w:eastAsia="en-US" w:bidi="ar-SA"/>
        </w:rPr>
      </w:pPr>
      <w:bookmarkStart w:id="98" w:name="br1_97"/>
      <w:bookmarkEnd w:id="9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296" w:x="552"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周转材料</w:t>
      </w:r>
    </w:p>
    <w:p>
      <w:pPr>
        <w:framePr w:w="1296" w:x="552"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消耗性生物</w:t>
      </w:r>
    </w:p>
    <w:p>
      <w:pPr>
        <w:framePr w:w="1296" w:x="552" w:y="154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1296" w:x="552"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合同履约成</w:t>
      </w:r>
    </w:p>
    <w:p>
      <w:pPr>
        <w:framePr w:w="1296" w:x="552" w:y="238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w:t>
      </w:r>
    </w:p>
    <w:p>
      <w:pPr>
        <w:framePr w:w="1296" w:x="552" w:y="2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建造合同形</w:t>
      </w:r>
    </w:p>
    <w:p>
      <w:pPr>
        <w:framePr w:w="1296" w:x="552" w:y="293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成的已完工</w:t>
      </w:r>
    </w:p>
    <w:p>
      <w:pPr>
        <w:framePr w:w="1296" w:x="552" w:y="293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未结算资产</w:t>
      </w:r>
    </w:p>
    <w:p>
      <w:pPr>
        <w:framePr w:w="1296" w:x="552" w:y="293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发出商品</w:t>
      </w:r>
    </w:p>
    <w:p>
      <w:pPr>
        <w:framePr w:w="1718" w:x="1829" w:y="3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147,157,022.54</w:t>
      </w:r>
    </w:p>
    <w:p>
      <w:pPr>
        <w:framePr w:w="3257" w:x="4825" w:y="3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147,157,022.54</w:t>
      </w:r>
      <w:r>
        <w:rPr>
          <w:rFonts w:ascii="SimSun" w:eastAsiaTheme="minorEastAsia" w:hAnsiTheme="minorHAnsi" w:cstheme="minorBidi"/>
          <w:color w:val="000000"/>
          <w:spacing w:val="7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13,046,158.54</w:t>
      </w:r>
    </w:p>
    <w:p>
      <w:pPr>
        <w:framePr w:w="3257" w:x="4825" w:y="376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69,175,436.55</w:t>
      </w:r>
      <w:r>
        <w:rPr>
          <w:rFonts w:ascii="SimSun" w:eastAsiaTheme="minorEastAsia" w:hAnsiTheme="minorHAnsi" w:cstheme="minorBidi"/>
          <w:color w:val="000000"/>
          <w:spacing w:val="7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87,427,098.57</w:t>
      </w:r>
    </w:p>
    <w:p>
      <w:pPr>
        <w:framePr w:w="1613" w:x="9612" w:y="376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13,046,158.54</w:t>
      </w:r>
    </w:p>
    <w:p>
      <w:pPr>
        <w:framePr w:w="1613" w:x="9612" w:y="376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87,427,098.57</w:t>
      </w:r>
    </w:p>
    <w:p>
      <w:pPr>
        <w:framePr w:w="2991" w:x="552" w:y="40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自制半成品</w:t>
      </w:r>
      <w:r>
        <w:rPr>
          <w:rFonts w:eastAsiaTheme="minorEastAsia" w:hAnsiTheme="minorHAnsi" w:cstheme="minorBidi"/>
          <w:color w:val="000000"/>
          <w:spacing w:val="27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69,175,436.55</w:t>
      </w:r>
    </w:p>
    <w:p>
      <w:pPr>
        <w:framePr w:w="662" w:x="946" w:y="43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9390" w:x="1829" w:y="43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493,515,191.17</w:t>
      </w:r>
      <w:r>
        <w:rPr>
          <w:rFonts w:ascii="SimSun" w:eastAsiaTheme="minorEastAsia" w:hAnsiTheme="minorHAnsi" w:cstheme="minorBidi"/>
          <w:color w:val="000000"/>
          <w:spacing w:val="-4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20,298,330.86</w:t>
      </w:r>
      <w:r>
        <w:rPr>
          <w:rFonts w:ascii="SimSun"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473,216,860.31</w:t>
      </w:r>
      <w:r>
        <w:rPr>
          <w:rFonts w:ascii="SimSun" w:eastAsiaTheme="minorEastAsia" w:hAnsiTheme="minorHAnsi" w:cstheme="minorBidi"/>
          <w:color w:val="000000"/>
          <w:spacing w:val="-3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454,972,539.24</w:t>
      </w:r>
      <w:r>
        <w:rPr>
          <w:rFonts w:ascii="SimSun" w:eastAsiaTheme="minorEastAsia" w:hAnsiTheme="minorHAnsi" w:cstheme="minorBidi"/>
          <w:color w:val="000000"/>
          <w:spacing w:val="-3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21,321,945.24</w:t>
      </w:r>
      <w:r>
        <w:rPr>
          <w:rFonts w:ascii="SimSun"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433,650,594.00</w:t>
      </w:r>
    </w:p>
    <w:p>
      <w:pPr>
        <w:framePr w:w="4457" w:x="1798" w:y="4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存货跌价准备及合同履约成本减值准备</w:t>
      </w:r>
    </w:p>
    <w:p>
      <w:pPr>
        <w:framePr w:w="1817" w:x="1798" w:y="5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5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862" w:x="4998" w:y="5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本期增加金额</w:t>
      </w:r>
    </w:p>
    <w:p>
      <w:pPr>
        <w:framePr w:w="1862" w:x="4998" w:y="5832"/>
        <w:widowControl w:val="0"/>
        <w:autoSpaceDE w:val="0"/>
        <w:autoSpaceDN w:val="0"/>
        <w:spacing w:before="86" w:line="211" w:lineRule="exact"/>
        <w:ind w:left="6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r>
        <w:rPr>
          <w:rFonts w:eastAsiaTheme="minorEastAsia" w:hAnsiTheme="minorHAnsi" w:cstheme="minorBidi"/>
          <w:color w:val="000000"/>
          <w:spacing w:val="6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745" w:x="7089" w:y="5832"/>
        <w:widowControl w:val="0"/>
        <w:autoSpaceDE w:val="0"/>
        <w:autoSpaceDN w:val="0"/>
        <w:spacing w:line="211" w:lineRule="exact"/>
        <w:ind w:left="24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本期减少金额</w:t>
      </w:r>
    </w:p>
    <w:p>
      <w:pPr>
        <w:framePr w:w="1745" w:x="7089" w:y="5832"/>
        <w:widowControl w:val="0"/>
        <w:autoSpaceDE w:val="0"/>
        <w:autoSpaceDN w:val="0"/>
        <w:spacing w:before="86"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转回或转销</w:t>
      </w:r>
    </w:p>
    <w:p>
      <w:pPr>
        <w:framePr w:w="662" w:x="1587" w:y="5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3221" w:y="5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9592" w:y="5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8601" w:y="61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874" w:x="912" w:y="64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原材料</w:t>
      </w:r>
    </w:p>
    <w:p>
      <w:pPr>
        <w:framePr w:w="874" w:x="912" w:y="642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在产品</w:t>
      </w:r>
    </w:p>
    <w:p>
      <w:pPr>
        <w:framePr w:w="3174" w:x="3015" w:y="6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18,358,271.62</w:t>
      </w:r>
      <w:r>
        <w:rPr>
          <w:rFonts w:ascii="SimSun" w:eastAsiaTheme="minorEastAsia" w:hAnsiTheme="minorHAnsi" w:cstheme="minorBidi"/>
          <w:color w:val="000000"/>
          <w:spacing w:val="19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3,515,931.58</w:t>
      </w:r>
    </w:p>
    <w:p>
      <w:pPr>
        <w:framePr w:w="1507" w:x="7098" w:y="6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8,523,783.54</w:t>
      </w:r>
    </w:p>
    <w:p>
      <w:pPr>
        <w:framePr w:w="1613" w:x="9391" w:y="642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13,350,419.66</w:t>
      </w:r>
    </w:p>
    <w:p>
      <w:pPr>
        <w:framePr w:w="1085" w:x="912" w:y="69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库存商品</w:t>
      </w:r>
    </w:p>
    <w:p>
      <w:pPr>
        <w:framePr w:w="3068" w:x="3120" w:y="6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2,963,673.62</w:t>
      </w:r>
      <w:r>
        <w:rPr>
          <w:rFonts w:ascii="SimSun" w:eastAsiaTheme="minorEastAsia" w:hAnsiTheme="minorHAnsi" w:cstheme="minorBidi"/>
          <w:color w:val="000000"/>
          <w:spacing w:val="19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5,203,155.51</w:t>
      </w:r>
    </w:p>
    <w:p>
      <w:pPr>
        <w:framePr w:w="1507" w:x="7098" w:y="6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1,218,917.93</w:t>
      </w:r>
    </w:p>
    <w:p>
      <w:pPr>
        <w:framePr w:w="1507" w:x="7098" w:y="6991"/>
        <w:widowControl w:val="0"/>
        <w:autoSpaceDE w:val="0"/>
        <w:autoSpaceDN w:val="0"/>
        <w:spacing w:before="14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9,742,701.47</w:t>
      </w:r>
    </w:p>
    <w:p>
      <w:pPr>
        <w:framePr w:w="1613" w:x="9391" w:y="6991"/>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6,947,911.20</w:t>
      </w:r>
    </w:p>
    <w:p>
      <w:pPr>
        <w:framePr w:w="1613" w:x="9391" w:y="6991"/>
        <w:widowControl w:val="0"/>
        <w:autoSpaceDE w:val="0"/>
        <w:autoSpaceDN w:val="0"/>
        <w:spacing w:before="14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20,298,330.86</w:t>
      </w:r>
    </w:p>
    <w:p>
      <w:pPr>
        <w:framePr w:w="1085" w:x="912" w:y="72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周转材料</w:t>
      </w:r>
    </w:p>
    <w:p>
      <w:pPr>
        <w:framePr w:w="1930" w:x="912" w:y="7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消耗性生物资产</w:t>
      </w:r>
    </w:p>
    <w:p>
      <w:pPr>
        <w:framePr w:w="1930" w:x="912" w:y="75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合同履约成本</w:t>
      </w:r>
    </w:p>
    <w:p>
      <w:pPr>
        <w:framePr w:w="1930" w:x="912" w:y="755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建造合同形成的已</w:t>
      </w:r>
    </w:p>
    <w:p>
      <w:pPr>
        <w:framePr w:w="1930" w:x="912" w:y="755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完工未结算资产</w:t>
      </w:r>
    </w:p>
    <w:p>
      <w:pPr>
        <w:framePr w:w="1930" w:x="912" w:y="7555"/>
        <w:widowControl w:val="0"/>
        <w:autoSpaceDE w:val="0"/>
        <w:autoSpaceDN w:val="0"/>
        <w:spacing w:before="70" w:line="211" w:lineRule="exact"/>
        <w:ind w:left="67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174" w:x="3015" w:y="86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21,321,945.24</w:t>
      </w:r>
      <w:r>
        <w:rPr>
          <w:rFonts w:ascii="SimSun" w:eastAsiaTheme="minorEastAsia" w:hAnsiTheme="minorHAnsi" w:cstheme="minorBidi"/>
          <w:color w:val="000000"/>
          <w:spacing w:val="19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8,719,087.09</w:t>
      </w:r>
    </w:p>
    <w:p>
      <w:pPr>
        <w:framePr w:w="5090" w:x="1798" w:y="90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存货期末余额含有借款费用资本化金额的说明</w:t>
      </w:r>
    </w:p>
    <w:p>
      <w:pPr>
        <w:framePr w:w="1817" w:x="1798" w:y="9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34" w:x="1798" w:y="9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合同履约成本本期摊销金额的说明</w:t>
      </w:r>
    </w:p>
    <w:p>
      <w:pPr>
        <w:framePr w:w="1817" w:x="1798" w:y="102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8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1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1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合同资产</w:t>
      </w:r>
    </w:p>
    <w:p>
      <w:pPr>
        <w:framePr w:w="1934" w:x="1798" w:y="119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合同资产情况</w:t>
      </w:r>
    </w:p>
    <w:p>
      <w:pPr>
        <w:framePr w:w="1817" w:x="1798" w:y="12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886" w:x="1798" w:y="128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报告期内账面价值发生重大变动的金额和原因</w:t>
      </w:r>
    </w:p>
    <w:p>
      <w:pPr>
        <w:framePr w:w="4886" w:x="1798" w:y="12841"/>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13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本期合同资产计提减值准备情况</w:t>
      </w:r>
    </w:p>
    <w:p>
      <w:pPr>
        <w:framePr w:w="3619" w:x="1798" w:y="13780"/>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47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847" w:x="5910"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99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1" type="#_x0000_t75" style="width:445.6pt;height:2.7pt;margin-top:53.65pt;margin-left:87.45pt;mso-position-horizontal-relative:page;mso-position-vertical-relative:page;position:absolute;z-index:-251374592">
            <v:imagedata r:id="rId159" o:title=""/>
          </v:shape>
        </w:pict>
      </w:r>
      <w:r>
        <w:rPr>
          <w:noProof/>
        </w:rPr>
        <w:pict>
          <v:shape id="_x0000_s1222" type="#_x0000_t75" style="width:527.2pt;height:155.85pt;margin-top:74.3pt;margin-left:24.8pt;mso-position-horizontal-relative:page;mso-position-vertical-relative:page;position:absolute;z-index:-251448320">
            <v:imagedata r:id="rId160" o:title=""/>
          </v:shape>
        </w:pict>
      </w:r>
      <w:r>
        <w:rPr>
          <w:noProof/>
        </w:rPr>
        <w:pict>
          <v:shape id="_x0000_s1223" type="#_x0000_t75" style="width:505.85pt;height:158.75pt;margin-top:288.65pt;margin-left:38.95pt;mso-position-horizontal-relative:page;mso-position-vertical-relative:page;position:absolute;z-index:-251557888">
            <v:imagedata r:id="rId161" o:title=""/>
          </v:shape>
        </w:pict>
      </w:r>
    </w:p>
    <w:p>
      <w:pPr>
        <w:spacing w:line="0" w:lineRule="atLeast"/>
        <w:rPr>
          <w:rFonts w:ascii="Arial" w:eastAsiaTheme="minorEastAsia" w:hAnsiTheme="minorHAnsi" w:cstheme="minorBidi"/>
          <w:color w:val="FF0000"/>
          <w:sz w:val="2"/>
          <w:szCs w:val="22"/>
          <w:lang w:val="en-US" w:eastAsia="en-US" w:bidi="ar-SA"/>
        </w:rPr>
      </w:pPr>
      <w:bookmarkStart w:id="99" w:name="br1_98"/>
      <w:bookmarkEnd w:id="9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持有待售资产</w:t>
      </w:r>
    </w:p>
    <w:p>
      <w:pPr>
        <w:framePr w:w="1817" w:x="1798" w:y="2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65" w:x="1798" w:y="29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一年内到期的非流动资产</w:t>
      </w:r>
    </w:p>
    <w:p>
      <w:pPr>
        <w:framePr w:w="1817"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其他流动资产</w:t>
      </w:r>
    </w:p>
    <w:p>
      <w:pPr>
        <w:framePr w:w="1817" w:x="1798" w:y="4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4757"/>
        <w:widowControl w:val="0"/>
        <w:autoSpaceDE w:val="0"/>
        <w:autoSpaceDN w:val="0"/>
        <w:spacing w:before="72" w:line="211" w:lineRule="exact"/>
        <w:ind w:left="57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239" w:x="1798" w:y="5040"/>
        <w:widowControl w:val="0"/>
        <w:autoSpaceDE w:val="0"/>
        <w:autoSpaceDN w:val="0"/>
        <w:spacing w:line="211" w:lineRule="exact"/>
        <w:ind w:left="157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239" w:x="1798" w:y="504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合同取得成本</w:t>
      </w:r>
    </w:p>
    <w:p>
      <w:pPr>
        <w:framePr w:w="1085" w:x="6267" w:y="5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1798" w:y="56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应收退货成本</w:t>
      </w:r>
    </w:p>
    <w:p>
      <w:pPr>
        <w:framePr w:w="1718" w:x="1690" w:y="5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增值税留抵扣额</w:t>
      </w:r>
    </w:p>
    <w:p>
      <w:pPr>
        <w:framePr w:w="1613" w:x="6421" w:y="58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78,068,542.19</w:t>
      </w:r>
    </w:p>
    <w:p>
      <w:pPr>
        <w:framePr w:w="1613" w:x="9266" w:y="58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83,444,652.57</w:t>
      </w:r>
    </w:p>
    <w:p>
      <w:pPr>
        <w:framePr w:w="1613" w:x="9266" w:y="5885"/>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2,490,465.93</w:t>
      </w:r>
    </w:p>
    <w:p>
      <w:pPr>
        <w:framePr w:w="3619" w:x="1690" w:y="61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以抵销后净额列示的所得税预缴税额</w:t>
      </w:r>
    </w:p>
    <w:p>
      <w:pPr>
        <w:framePr w:w="3619" w:x="1690" w:y="616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预缴个人所得税</w:t>
      </w:r>
    </w:p>
    <w:p>
      <w:pPr>
        <w:framePr w:w="1296" w:x="6736" w:y="61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772,870.44</w:t>
      </w:r>
    </w:p>
    <w:p>
      <w:pPr>
        <w:framePr w:w="2048" w:x="9266" w:y="6451"/>
        <w:widowControl w:val="0"/>
        <w:autoSpaceDE w:val="0"/>
        <w:autoSpaceDN w:val="0"/>
        <w:spacing w:line="211" w:lineRule="exact"/>
        <w:ind w:left="47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2,068.53</w:t>
      </w:r>
      <w:r>
        <w:rPr>
          <w:rFonts w:ascii="SimSun" w:hAnsi="SimSun" w:eastAsiaTheme="minorEastAsia" w:cs="SimSun"/>
          <w:color w:val="000000"/>
          <w:sz w:val="21"/>
          <w:szCs w:val="22"/>
          <w:lang w:val="en-US" w:eastAsia="en-US" w:bidi="ar-SA"/>
        </w:rPr>
        <w:cr/>
      </w:r>
    </w:p>
    <w:p>
      <w:pPr>
        <w:framePr w:w="2048" w:x="9266" w:y="645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85,937,187.03</w:t>
      </w:r>
    </w:p>
    <w:p>
      <w:pPr>
        <w:framePr w:w="662" w:x="3322" w:y="67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421" w:y="67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78,841,412.63</w:t>
      </w:r>
    </w:p>
    <w:p>
      <w:pPr>
        <w:framePr w:w="1296" w:x="1798" w:y="7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728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8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债权投资</w:t>
      </w:r>
    </w:p>
    <w:p>
      <w:pPr>
        <w:framePr w:w="1934" w:x="1798" w:y="8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债权投资情况</w:t>
      </w:r>
    </w:p>
    <w:p>
      <w:pPr>
        <w:framePr w:w="1934" w:x="1798" w:y="8770"/>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8" w:x="1798" w:y="97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期末重要的债权投资</w:t>
      </w:r>
    </w:p>
    <w:p>
      <w:pPr>
        <w:framePr w:w="2568" w:x="1798" w:y="9706"/>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106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减值准备计提情况</w:t>
      </w:r>
    </w:p>
    <w:p>
      <w:pPr>
        <w:framePr w:w="2357" w:x="1798" w:y="10645"/>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17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其他债权投资</w:t>
      </w:r>
    </w:p>
    <w:p>
      <w:pPr>
        <w:framePr w:w="2357" w:x="1798" w:y="121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其他债权投资情况</w:t>
      </w:r>
    </w:p>
    <w:p>
      <w:pPr>
        <w:framePr w:w="2357" w:x="1798" w:y="1218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8" w:x="1798" w:y="1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期末重要的其他债权投资</w:t>
      </w:r>
    </w:p>
    <w:p>
      <w:pPr>
        <w:framePr w:w="2988" w:x="1798" w:y="1312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140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减值准备计提情况</w:t>
      </w:r>
    </w:p>
    <w:p>
      <w:pPr>
        <w:framePr w:w="1817" w:x="1798" w:y="14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452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4" type="#_x0000_t75" style="width:445.6pt;height:2.7pt;margin-top:53.65pt;margin-left:87.45pt;mso-position-horizontal-relative:page;mso-position-vertical-relative:page;position:absolute;z-index:-251447296">
            <v:imagedata r:id="rId162" o:title=""/>
          </v:shape>
        </w:pict>
      </w:r>
      <w:r>
        <w:rPr>
          <w:noProof/>
        </w:rPr>
        <w:pict>
          <v:shape id="_x0000_s1225" type="#_x0000_t75" style="width:454.95pt;height:101.4pt;margin-top:248.9pt;margin-left:83.25pt;mso-position-horizontal-relative:page;mso-position-vertical-relative:page;position:absolute;z-index:-251556864">
            <v:imagedata r:id="rId163" o:title=""/>
          </v:shape>
        </w:pict>
      </w:r>
    </w:p>
    <w:p>
      <w:pPr>
        <w:spacing w:line="0" w:lineRule="atLeast"/>
        <w:rPr>
          <w:rFonts w:ascii="Arial" w:eastAsiaTheme="minorEastAsia" w:hAnsiTheme="minorHAnsi" w:cstheme="minorBidi"/>
          <w:color w:val="FF0000"/>
          <w:sz w:val="2"/>
          <w:szCs w:val="22"/>
          <w:lang w:val="en-US" w:eastAsia="en-US" w:bidi="ar-SA"/>
        </w:rPr>
      </w:pPr>
      <w:bookmarkStart w:id="100" w:name="br1_99"/>
      <w:bookmarkEnd w:id="10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00"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长期应收款</w:t>
      </w:r>
    </w:p>
    <w:p>
      <w:pPr>
        <w:framePr w:w="2143" w:x="1798" w:y="2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长期应收款情况</w:t>
      </w:r>
    </w:p>
    <w:p>
      <w:pPr>
        <w:framePr w:w="1817" w:x="1798" w:y="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31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坏账准备计提情况</w:t>
      </w:r>
    </w:p>
    <w:p>
      <w:pPr>
        <w:framePr w:w="1817" w:x="1798" w:y="3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2" w:x="1798" w:y="42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因金融资产转移而终止确认的长期应收款</w:t>
      </w:r>
    </w:p>
    <w:p>
      <w:pPr>
        <w:framePr w:w="1817" w:x="1798" w:y="46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4" w:x="1798" w:y="5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转移长期应收款且继续涉入形成的资产、负债金额</w:t>
      </w:r>
    </w:p>
    <w:p>
      <w:pPr>
        <w:framePr w:w="1817" w:x="1798" w:y="57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62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6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73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长期股权投资</w:t>
      </w:r>
    </w:p>
    <w:p>
      <w:pPr>
        <w:framePr w:w="1817" w:x="1798" w:y="77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7" w:x="1798" w:y="8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其他权益工具投资</w:t>
      </w:r>
    </w:p>
    <w:p>
      <w:pPr>
        <w:framePr w:w="2777" w:x="1798" w:y="838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其他权益工具投资情况</w:t>
      </w:r>
    </w:p>
    <w:p>
      <w:pPr>
        <w:framePr w:w="2777" w:x="1798" w:y="838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97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非交易性权益工具投资的情况</w:t>
      </w:r>
    </w:p>
    <w:p>
      <w:pPr>
        <w:framePr w:w="1817" w:x="1798" w:y="10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025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1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45" w:x="1798" w:y="116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其他非流动金融资产</w:t>
      </w:r>
    </w:p>
    <w:p>
      <w:pPr>
        <w:framePr w:w="1817" w:x="1798" w:y="121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投资性房地产</w:t>
      </w:r>
    </w:p>
    <w:p>
      <w:pPr>
        <w:framePr w:w="2352" w:x="1798" w:y="132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投资性房地产计量模式</w:t>
      </w:r>
    </w:p>
    <w:p>
      <w:pPr>
        <w:framePr w:w="4020" w:x="1798" w:y="13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采用成本计量模式的投资性房地产</w:t>
      </w:r>
    </w:p>
    <w:p>
      <w:pPr>
        <w:framePr w:w="2554" w:x="8320" w:y="14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754" w:x="1798" w:y="14308"/>
        <w:widowControl w:val="0"/>
        <w:autoSpaceDE w:val="0"/>
        <w:autoSpaceDN w:val="0"/>
        <w:spacing w:line="211" w:lineRule="exact"/>
        <w:ind w:left="109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754" w:x="1798" w:y="1430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一、账面原值</w:t>
      </w:r>
    </w:p>
    <w:p>
      <w:pPr>
        <w:framePr w:w="1754" w:x="1798" w:y="14308"/>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507" w:x="4676" w:y="1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房屋、建筑物</w:t>
      </w:r>
    </w:p>
    <w:p>
      <w:pPr>
        <w:framePr w:w="1296" w:x="6375" w:y="1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土地使用权</w:t>
      </w:r>
    </w:p>
    <w:p>
      <w:pPr>
        <w:framePr w:w="1085" w:x="8061" w:y="1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662" w:x="9792" w:y="1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736" w:y="14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1507" w:x="9372" w:y="14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6" type="#_x0000_t75" style="width:445.6pt;height:2.7pt;margin-top:53.65pt;margin-left:87.45pt;mso-position-horizontal-relative:page;mso-position-vertical-relative:page;position:absolute;z-index:-251446272">
            <v:imagedata r:id="rId164" o:title=""/>
          </v:shape>
        </w:pict>
      </w:r>
      <w:r>
        <w:rPr>
          <w:noProof/>
        </w:rPr>
        <w:pict>
          <v:shape id="_x0000_s1227" type="#_x0000_t75" style="width:454.95pt;height:44.95pt;margin-top:712.3pt;margin-left:83.25pt;mso-position-horizontal-relative:page;mso-position-vertical-relative:page;position:absolute;z-index:-251555840">
            <v:imagedata r:id="rId165" o:title=""/>
          </v:shape>
        </w:pict>
      </w:r>
    </w:p>
    <w:p>
      <w:pPr>
        <w:spacing w:line="0" w:lineRule="atLeast"/>
        <w:rPr>
          <w:rFonts w:ascii="Arial" w:eastAsiaTheme="minorEastAsia" w:hAnsiTheme="minorHAnsi" w:cstheme="minorBidi"/>
          <w:color w:val="FF0000"/>
          <w:sz w:val="2"/>
          <w:szCs w:val="22"/>
          <w:lang w:val="en-US" w:eastAsia="en-US" w:bidi="ar-SA"/>
        </w:rPr>
      </w:pPr>
      <w:bookmarkStart w:id="101" w:name="br1_100"/>
      <w:bookmarkEnd w:id="10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718" w:x="2112"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2112"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）外购</w:t>
      </w:r>
    </w:p>
    <w:p>
      <w:pPr>
        <w:framePr w:w="2458" w:x="2112"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）存货</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固定资产</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在</w:t>
      </w:r>
    </w:p>
    <w:p>
      <w:pPr>
        <w:framePr w:w="1296" w:x="1798" w:y="23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建工程转入</w:t>
      </w:r>
    </w:p>
    <w:p>
      <w:pPr>
        <w:framePr w:w="2035" w:x="2112" w:y="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）企业合并增加</w:t>
      </w:r>
    </w:p>
    <w:p>
      <w:pPr>
        <w:framePr w:w="2035" w:x="2112" w:y="266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2035" w:x="2112" w:y="266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w:t>
      </w:r>
    </w:p>
    <w:p>
      <w:pPr>
        <w:framePr w:w="1613" w:x="2112" w:y="3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）其他转出</w:t>
      </w:r>
    </w:p>
    <w:p>
      <w:pPr>
        <w:framePr w:w="1613" w:x="2112" w:y="3513"/>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4736" w:y="37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1507" w:x="9372" w:y="37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4,650,995.75</w:t>
      </w:r>
    </w:p>
    <w:p>
      <w:pPr>
        <w:framePr w:w="2563" w:x="1798" w:y="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二、累计折旧和累计摊销</w:t>
      </w:r>
    </w:p>
    <w:p>
      <w:pPr>
        <w:framePr w:w="2563" w:x="1798" w:y="4077"/>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507" w:x="4736" w:y="43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1,682,564.57</w:t>
      </w:r>
    </w:p>
    <w:p>
      <w:pPr>
        <w:framePr w:w="1507" w:x="4736" w:y="436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110,461.14</w:t>
      </w:r>
    </w:p>
    <w:p>
      <w:pPr>
        <w:framePr w:w="1507" w:x="4736" w:y="436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110,461.14</w:t>
      </w:r>
    </w:p>
    <w:p>
      <w:pPr>
        <w:framePr w:w="1507" w:x="9372" w:y="43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1,682,564.57</w:t>
      </w:r>
    </w:p>
    <w:p>
      <w:pPr>
        <w:framePr w:w="1507" w:x="9372" w:y="436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110,461.14</w:t>
      </w:r>
    </w:p>
    <w:p>
      <w:pPr>
        <w:framePr w:w="1507" w:x="9372" w:y="4360"/>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110,461.14</w:t>
      </w:r>
    </w:p>
    <w:p>
      <w:pPr>
        <w:framePr w:w="1824" w:x="2112" w:y="4644"/>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824" w:x="2112" w:y="46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）计提或摊销</w:t>
      </w:r>
    </w:p>
    <w:p>
      <w:pPr>
        <w:framePr w:w="1824" w:x="2112" w:y="4644"/>
        <w:widowControl w:val="0"/>
        <w:autoSpaceDE w:val="0"/>
        <w:autoSpaceDN w:val="0"/>
        <w:spacing w:before="73"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2112" w:y="46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w:t>
      </w:r>
    </w:p>
    <w:p>
      <w:pPr>
        <w:framePr w:w="1613" w:x="2112" w:y="57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）其他转出</w:t>
      </w:r>
    </w:p>
    <w:p>
      <w:pPr>
        <w:framePr w:w="1613" w:x="2112" w:y="5775"/>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4736" w:y="6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1,793,025.71</w:t>
      </w:r>
    </w:p>
    <w:p>
      <w:pPr>
        <w:framePr w:w="1507" w:x="9372" w:y="6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1,793,025.71</w:t>
      </w:r>
    </w:p>
    <w:p>
      <w:pPr>
        <w:framePr w:w="1714" w:x="1798" w:y="63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三、减值准备</w:t>
      </w:r>
    </w:p>
    <w:p>
      <w:pPr>
        <w:framePr w:w="1714" w:x="1798" w:y="6341"/>
        <w:widowControl w:val="0"/>
        <w:autoSpaceDE w:val="0"/>
        <w:autoSpaceDN w:val="0"/>
        <w:spacing w:before="70"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819" w:x="2112" w:y="6905"/>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819" w:x="2112" w:y="690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824" w:x="2218" w:y="74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2218" w:y="747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w:t>
      </w:r>
    </w:p>
    <w:p>
      <w:pPr>
        <w:framePr w:w="1613" w:x="2218" w:y="8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）其他转出</w:t>
      </w:r>
    </w:p>
    <w:p>
      <w:pPr>
        <w:framePr w:w="1613" w:x="2218" w:y="803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2028" w:x="1798" w:y="8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四、账面价值</w:t>
      </w:r>
    </w:p>
    <w:p>
      <w:pPr>
        <w:framePr w:w="2028" w:x="1798" w:y="8602"/>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期末账面价值</w:t>
      </w:r>
    </w:p>
    <w:p>
      <w:pPr>
        <w:framePr w:w="2028" w:x="1798" w:y="8602"/>
        <w:widowControl w:val="0"/>
        <w:autoSpaceDE w:val="0"/>
        <w:autoSpaceDN w:val="0"/>
        <w:spacing w:before="72"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期初账面价值</w:t>
      </w:r>
    </w:p>
    <w:p>
      <w:pPr>
        <w:framePr w:w="1507" w:x="4736" w:y="88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2,857,970.04</w:t>
      </w:r>
    </w:p>
    <w:p>
      <w:pPr>
        <w:framePr w:w="1507" w:x="4736" w:y="888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1507" w:x="9372" w:y="88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2,857,970.04</w:t>
      </w:r>
    </w:p>
    <w:p>
      <w:pPr>
        <w:framePr w:w="1507" w:x="9372" w:y="888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2,968,431.18</w:t>
      </w:r>
    </w:p>
    <w:p>
      <w:pPr>
        <w:framePr w:w="4442" w:x="1798" w:y="98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未办妥产权证书的投资性房地产情况：</w:t>
      </w:r>
    </w:p>
    <w:p>
      <w:pPr>
        <w:framePr w:w="1860" w:x="1755" w:y="10268"/>
        <w:widowControl w:val="0"/>
        <w:autoSpaceDE w:val="0"/>
        <w:autoSpaceDN w:val="0"/>
        <w:spacing w:line="211" w:lineRule="exact"/>
        <w:ind w:left="4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60" w:x="1755" w:y="1026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0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15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固定资产</w:t>
      </w:r>
    </w:p>
    <w:p>
      <w:pPr>
        <w:framePr w:w="1589" w:x="1798" w:y="1155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124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7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2764"/>
        <w:widowControl w:val="0"/>
        <w:autoSpaceDE w:val="0"/>
        <w:autoSpaceDN w:val="0"/>
        <w:spacing w:before="70" w:line="211" w:lineRule="exact"/>
        <w:ind w:left="55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97" w:x="1798" w:y="13045"/>
        <w:widowControl w:val="0"/>
        <w:autoSpaceDE w:val="0"/>
        <w:autoSpaceDN w:val="0"/>
        <w:spacing w:line="211" w:lineRule="exact"/>
        <w:ind w:left="133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97" w:x="1798" w:y="1304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987" w:x="6008" w:y="130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987" w:x="6008" w:y="13045"/>
        <w:widowControl w:val="0"/>
        <w:autoSpaceDE w:val="0"/>
        <w:autoSpaceDN w:val="0"/>
        <w:spacing w:before="72" w:line="211" w:lineRule="exact"/>
        <w:ind w:left="27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269,157,754.58</w:t>
      </w:r>
    </w:p>
    <w:p>
      <w:pPr>
        <w:framePr w:w="1718" w:x="9160" w:y="133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997" w:x="1798" w:y="13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固定资产清理</w:t>
      </w:r>
    </w:p>
    <w:p>
      <w:pPr>
        <w:framePr w:w="1997" w:x="1798" w:y="13612"/>
        <w:widowControl w:val="0"/>
        <w:autoSpaceDE w:val="0"/>
        <w:autoSpaceDN w:val="0"/>
        <w:spacing w:before="70" w:line="211" w:lineRule="exact"/>
        <w:ind w:left="133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282" w:y="138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269,157,754.58</w:t>
      </w:r>
    </w:p>
    <w:p>
      <w:pPr>
        <w:framePr w:w="1718" w:x="9160" w:y="138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337,313,912.22</w:t>
      </w:r>
    </w:p>
    <w:p>
      <w:pPr>
        <w:framePr w:w="1296" w:x="1798" w:y="144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4447"/>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28" type="#_x0000_t75" style="width:445.6pt;height:2.7pt;margin-top:53.65pt;margin-left:87.45pt;mso-position-horizontal-relative:page;mso-position-vertical-relative:page;position:absolute;z-index:-251373568">
            <v:imagedata r:id="rId166" o:title=""/>
          </v:shape>
        </w:pict>
      </w:r>
      <w:r>
        <w:rPr>
          <w:noProof/>
        </w:rPr>
        <w:pict>
          <v:shape id="_x0000_s1229" type="#_x0000_t75" style="width:454.95pt;height:398.65pt;margin-top:74.3pt;margin-left:83.25pt;mso-position-horizontal-relative:page;mso-position-vertical-relative:page;position:absolute;z-index:-251445248">
            <v:imagedata r:id="rId167" o:title=""/>
          </v:shape>
        </w:pict>
      </w:r>
      <w:r>
        <w:rPr>
          <w:noProof/>
        </w:rPr>
        <w:pict>
          <v:shape id="_x0000_s1230" type="#_x0000_t75" style="width:454.95pt;height:59pt;margin-top:649.3pt;margin-left:83.25pt;mso-position-horizontal-relative:page;mso-position-vertical-relative:page;position:absolute;z-index:-251554816">
            <v:imagedata r:id="rId168" o:title=""/>
          </v:shape>
        </w:pict>
      </w:r>
    </w:p>
    <w:p>
      <w:pPr>
        <w:spacing w:line="0" w:lineRule="atLeast"/>
        <w:rPr>
          <w:rFonts w:ascii="Arial" w:eastAsiaTheme="minorEastAsia" w:hAnsiTheme="minorHAnsi" w:cstheme="minorBidi"/>
          <w:color w:val="FF0000"/>
          <w:sz w:val="2"/>
          <w:szCs w:val="22"/>
          <w:lang w:val="en-US" w:eastAsia="en-US" w:bidi="ar-SA"/>
        </w:rPr>
      </w:pPr>
      <w:bookmarkStart w:id="102" w:name="br1_101"/>
      <w:bookmarkEnd w:id="10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5"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固定资产</w:t>
      </w:r>
    </w:p>
    <w:p>
      <w:pPr>
        <w:framePr w:w="2095"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固定资产情况</w:t>
      </w:r>
    </w:p>
    <w:p>
      <w:pPr>
        <w:framePr w:w="2095" w:x="1798" w:y="186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871" w:x="8003" w:y="2474"/>
        <w:widowControl w:val="0"/>
        <w:autoSpaceDE w:val="0"/>
        <w:autoSpaceDN w:val="0"/>
        <w:spacing w:line="211" w:lineRule="exact"/>
        <w:ind w:left="31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871" w:x="8003" w:y="247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电子设备</w:t>
      </w:r>
      <w:r>
        <w:rPr>
          <w:rFonts w:eastAsiaTheme="minorEastAsia" w:hAnsiTheme="minorHAnsi" w:cstheme="minorBidi"/>
          <w:color w:val="000000"/>
          <w:spacing w:val="89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合计</w:t>
      </w:r>
    </w:p>
    <w:p>
      <w:pPr>
        <w:framePr w:w="662" w:x="2139"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3461"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房屋及建筑物</w:t>
      </w:r>
    </w:p>
    <w:p>
      <w:pPr>
        <w:framePr w:w="1085" w:x="5202"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机器设备</w:t>
      </w:r>
    </w:p>
    <w:p>
      <w:pPr>
        <w:framePr w:w="1085" w:x="6628"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运输工具</w:t>
      </w:r>
    </w:p>
    <w:p>
      <w:pPr>
        <w:framePr w:w="1718" w:x="1402" w:y="3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一、账面原值：</w:t>
      </w:r>
    </w:p>
    <w:p>
      <w:pPr>
        <w:framePr w:w="1718" w:x="1402" w:y="30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7727" w:x="3356" w:y="33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244,881,195.48</w:t>
      </w:r>
      <w:r>
        <w:rPr>
          <w:rFonts w:ascii="SimSun" w:eastAsiaTheme="minorEastAsia" w:hAnsiTheme="minorHAnsi" w:cstheme="minorBidi"/>
          <w:color w:val="000000"/>
          <w:spacing w:val="-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278,458,827.55</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3,599,658.55</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14,097,385.87</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541,037,067.45</w:t>
      </w:r>
    </w:p>
    <w:p>
      <w:pPr>
        <w:framePr w:w="1718" w:x="1402" w:y="36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402" w:y="36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）购置</w:t>
      </w:r>
    </w:p>
    <w:p>
      <w:pPr>
        <w:framePr w:w="3140" w:x="3461" w:y="36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10,590,403.30</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5,651,217.43</w:t>
      </w:r>
    </w:p>
    <w:p>
      <w:pPr>
        <w:framePr w:w="3140" w:x="3461" w:y="360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10,590,403.30</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5,624,328.92</w:t>
      </w:r>
    </w:p>
    <w:p>
      <w:pPr>
        <w:framePr w:w="3140" w:x="3461" w:y="3602"/>
        <w:widowControl w:val="0"/>
        <w:autoSpaceDE w:val="0"/>
        <w:autoSpaceDN w:val="0"/>
        <w:spacing w:before="72" w:line="211" w:lineRule="exact"/>
        <w:ind w:left="195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26,888.51</w:t>
      </w:r>
    </w:p>
    <w:p>
      <w:pPr>
        <w:framePr w:w="4244" w:x="6839" w:y="36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4,026.54</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1,080,721.98</w:t>
      </w:r>
      <w:r>
        <w:rPr>
          <w:rFonts w:ascii="SimSun" w:eastAsiaTheme="minorEastAsia" w:hAnsiTheme="minorHAnsi" w:cstheme="minorBidi"/>
          <w:color w:val="000000"/>
          <w:spacing w:val="2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17,326,369.25</w:t>
      </w:r>
    </w:p>
    <w:p>
      <w:pPr>
        <w:framePr w:w="4244" w:x="6839" w:y="360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4,026.54</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1,080,721.98</w:t>
      </w:r>
      <w:r>
        <w:rPr>
          <w:rFonts w:ascii="SimSun" w:eastAsiaTheme="minorEastAsia" w:hAnsiTheme="minorHAnsi" w:cstheme="minorBidi"/>
          <w:color w:val="000000"/>
          <w:spacing w:val="2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17,299,480.74</w:t>
      </w:r>
    </w:p>
    <w:p>
      <w:pPr>
        <w:framePr w:w="4244" w:x="6839" w:y="3602"/>
        <w:widowControl w:val="0"/>
        <w:autoSpaceDE w:val="0"/>
        <w:autoSpaceDN w:val="0"/>
        <w:spacing w:before="72" w:line="211" w:lineRule="exact"/>
        <w:ind w:left="305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26,888.51</w:t>
      </w:r>
    </w:p>
    <w:p>
      <w:pPr>
        <w:framePr w:w="2035" w:x="1402" w:y="41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）在建工程转入</w:t>
      </w:r>
    </w:p>
    <w:p>
      <w:pPr>
        <w:framePr w:w="2035" w:x="1402" w:y="41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）企业合并增加</w:t>
      </w:r>
    </w:p>
    <w:p>
      <w:pPr>
        <w:framePr w:w="2035" w:x="1402"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2035" w:x="1402"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）处置或报废</w:t>
      </w:r>
    </w:p>
    <w:p>
      <w:pPr>
        <w:framePr w:w="3140" w:x="3461" w:y="47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14,187,116.19</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54,323,662.70</w:t>
      </w:r>
    </w:p>
    <w:p>
      <w:pPr>
        <w:framePr w:w="3140" w:x="3461" w:y="473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1,873,175.90</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3,008,224.51</w:t>
      </w:r>
    </w:p>
    <w:p>
      <w:pPr>
        <w:framePr w:w="2922" w:x="8161" w:y="47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13,719.00</w:t>
      </w:r>
      <w:r>
        <w:rPr>
          <w:rFonts w:ascii="SimSun" w:eastAsiaTheme="minorEastAsia" w:hAnsiTheme="minorHAnsi" w:cstheme="minorBidi"/>
          <w:color w:val="000000"/>
          <w:spacing w:val="2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68,524,497.89</w:t>
      </w:r>
    </w:p>
    <w:p>
      <w:pPr>
        <w:framePr w:w="1190" w:x="8161" w:y="50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13,719.00</w:t>
      </w:r>
    </w:p>
    <w:p>
      <w:pPr>
        <w:framePr w:w="1613" w:x="9475" w:y="5016"/>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4,895,119.41</w:t>
      </w:r>
    </w:p>
    <w:p>
      <w:pPr>
        <w:framePr w:w="1613" w:x="9475" w:y="501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63,629,378.48</w:t>
      </w:r>
    </w:p>
    <w:p>
      <w:pPr>
        <w:framePr w:w="5199" w:x="1402" w:y="529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）转入在建工程</w:t>
      </w:r>
      <w:r>
        <w:rPr>
          <w:rFonts w:eastAsiaTheme="minorEastAsia" w:hAnsiTheme="minorHAnsi" w:cstheme="minorBidi"/>
          <w:color w:val="000000"/>
          <w:spacing w:val="2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12,313,940.29</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51,315,438.19</w:t>
      </w:r>
    </w:p>
    <w:p>
      <w:pPr>
        <w:framePr w:w="1296" w:x="1402" w:y="55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7727" w:x="3356" w:y="558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241,284,482.59</w:t>
      </w:r>
      <w:r>
        <w:rPr>
          <w:rFonts w:ascii="SimSun" w:eastAsiaTheme="minorEastAsia" w:hAnsiTheme="minorHAnsi" w:cstheme="minorBidi"/>
          <w:color w:val="000000"/>
          <w:spacing w:val="-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229,786,382.28</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3,603,685.09</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15,164,388.85</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489,838,938.81</w:t>
      </w:r>
    </w:p>
    <w:p>
      <w:pPr>
        <w:framePr w:w="1507" w:x="1402" w:y="5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二、累计折旧</w:t>
      </w:r>
    </w:p>
    <w:p>
      <w:pPr>
        <w:framePr w:w="1507" w:x="1402" w:y="586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7622" w:x="3461" w:y="61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55,028,576.09</w:t>
      </w:r>
      <w:r>
        <w:rPr>
          <w:rFonts w:ascii="SimSun" w:eastAsiaTheme="minorEastAsia" w:hAnsiTheme="minorHAnsi" w:cstheme="minorBidi"/>
          <w:color w:val="000000"/>
          <w:spacing w:val="-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139,380,065.09</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1,696,877.79</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7,617,636.26</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203,723,155.23</w:t>
      </w:r>
    </w:p>
    <w:p>
      <w:pPr>
        <w:framePr w:w="7622" w:x="3461" w:y="6144"/>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5,154,937.33</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15,448,160.19</w:t>
      </w:r>
      <w:r>
        <w:rPr>
          <w:rFonts w:ascii="SimSun" w:eastAsiaTheme="minorEastAsia" w:hAnsiTheme="minorHAnsi" w:cstheme="minorBidi"/>
          <w:color w:val="000000"/>
          <w:spacing w:val="1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256,386.61</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1,303,813.17</w:t>
      </w:r>
      <w:r>
        <w:rPr>
          <w:rFonts w:ascii="SimSun" w:eastAsiaTheme="minorEastAsia" w:hAnsiTheme="minorHAnsi" w:cstheme="minorBidi"/>
          <w:color w:val="000000"/>
          <w:spacing w:val="2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22,163,297.30</w:t>
      </w:r>
    </w:p>
    <w:p>
      <w:pPr>
        <w:framePr w:w="7622" w:x="3461" w:y="614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5,154,937.33</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15,448,160.19</w:t>
      </w:r>
      <w:r>
        <w:rPr>
          <w:rFonts w:ascii="SimSun" w:eastAsiaTheme="minorEastAsia" w:hAnsiTheme="minorHAnsi" w:cstheme="minorBidi"/>
          <w:color w:val="000000"/>
          <w:spacing w:val="16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256,386.61</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1,303,813.17</w:t>
      </w:r>
      <w:r>
        <w:rPr>
          <w:rFonts w:ascii="SimSun" w:eastAsiaTheme="minorEastAsia" w:hAnsiTheme="minorHAnsi" w:cstheme="minorBidi"/>
          <w:color w:val="000000"/>
          <w:spacing w:val="2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22,163,297.30</w:t>
      </w:r>
    </w:p>
    <w:p>
      <w:pPr>
        <w:framePr w:w="1718" w:x="1402" w:y="64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402" w:y="642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2035" w:x="1402" w:y="69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2035" w:x="1402" w:y="699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）处置或报废</w:t>
      </w:r>
    </w:p>
    <w:p>
      <w:pPr>
        <w:framePr w:w="2035" w:x="1402" w:y="699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）转入在建工程</w:t>
      </w:r>
    </w:p>
    <w:p>
      <w:pPr>
        <w:framePr w:w="2035" w:x="1402" w:y="699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2826" w:x="3776" w:y="6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940,174.77</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4,251,862.10</w:t>
      </w:r>
    </w:p>
    <w:p>
      <w:pPr>
        <w:framePr w:w="2826" w:x="3776" w:y="699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842,689.41</w:t>
      </w:r>
      <w:r>
        <w:rPr>
          <w:rFonts w:ascii="SimSun" w:eastAsiaTheme="minorEastAsia" w:hAnsiTheme="minorHAnsi" w:cstheme="minorBidi"/>
          <w:color w:val="000000"/>
          <w:spacing w:val="16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2,733,907.74</w:t>
      </w:r>
    </w:p>
    <w:p>
      <w:pPr>
        <w:framePr w:w="2826" w:x="3776" w:y="6991"/>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97,485.36</w:t>
      </w:r>
      <w:r>
        <w:rPr>
          <w:rFonts w:ascii="SimSun" w:eastAsiaTheme="minorEastAsia" w:hAnsiTheme="minorHAnsi" w:cstheme="minorBidi"/>
          <w:color w:val="000000"/>
          <w:spacing w:val="16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1,517,954.36</w:t>
      </w:r>
    </w:p>
    <w:p>
      <w:pPr>
        <w:framePr w:w="1190" w:x="8161" w:y="6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13,231.43</w:t>
      </w:r>
    </w:p>
    <w:p>
      <w:pPr>
        <w:framePr w:w="1190" w:x="8161" w:y="699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13,231.43</w:t>
      </w:r>
    </w:p>
    <w:p>
      <w:pPr>
        <w:framePr w:w="1507" w:x="9580" w:y="69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5,205,268.30</w:t>
      </w:r>
    </w:p>
    <w:p>
      <w:pPr>
        <w:framePr w:w="1507" w:x="9580" w:y="699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3,589,828.58</w:t>
      </w:r>
    </w:p>
    <w:p>
      <w:pPr>
        <w:framePr w:w="1507" w:x="9580" w:y="699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1,615,439.72</w:t>
      </w:r>
    </w:p>
    <w:p>
      <w:pPr>
        <w:framePr w:w="7622" w:x="3461" w:y="78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59,243,338.65</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150,576,363.18</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1,953,264.40</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8,908,218.00</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220,681,184.23</w:t>
      </w:r>
    </w:p>
    <w:p>
      <w:pPr>
        <w:framePr w:w="1507" w:x="1402" w:y="81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三、减值准备</w:t>
      </w:r>
    </w:p>
    <w:p>
      <w:pPr>
        <w:framePr w:w="1507" w:x="1402" w:y="812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1402" w:y="86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402" w:y="86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824" w:x="1402" w:y="9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824" w:x="1402" w:y="925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）处置或报废</w:t>
      </w:r>
    </w:p>
    <w:p>
      <w:pPr>
        <w:framePr w:w="1824" w:x="1402" w:y="925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718" w:x="1402" w:y="100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四、账面价值</w:t>
      </w:r>
    </w:p>
    <w:p>
      <w:pPr>
        <w:framePr w:w="1718" w:x="1402" w:y="100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期末账面价值</w:t>
      </w:r>
    </w:p>
    <w:p>
      <w:pPr>
        <w:framePr w:w="1718" w:x="1402" w:y="1009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期初账面价值</w:t>
      </w:r>
    </w:p>
    <w:p>
      <w:pPr>
        <w:framePr w:w="7727" w:x="3356" w:y="103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182,041,143.94</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79,210,019.10</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1,650,420.69</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6,256,170.85</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269,157,754.58</w:t>
      </w:r>
    </w:p>
    <w:p>
      <w:pPr>
        <w:framePr w:w="7727" w:x="3356" w:y="1038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189,852,619.39</w:t>
      </w:r>
      <w:r>
        <w:rPr>
          <w:rFonts w:ascii="SimSun" w:eastAsiaTheme="minorEastAsia" w:hAnsiTheme="minorHAnsi" w:cstheme="minorBidi"/>
          <w:color w:val="000000"/>
          <w:spacing w:val="-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139,078,762.46</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1,902,780.76</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6,479,749.61</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337,313,912.22</w:t>
      </w:r>
    </w:p>
    <w:p>
      <w:pPr>
        <w:framePr w:w="9110" w:x="1798" w:y="1106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潍坊先达与中信银行股份有限公司济南分行分别签订本金为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541.5</w:t>
      </w:r>
      <w:r>
        <w:rPr>
          <w:rFonts w:ascii="SimSun" w:hAnsi="SimSun" w:eastAsiaTheme="minorEastAsia" w:cs="SimSun"/>
          <w:color w:val="000000"/>
          <w:sz w:val="21"/>
          <w:szCs w:val="22"/>
          <w:lang w:val="en-US" w:eastAsia="en-US" w:bidi="ar-SA"/>
        </w:rPr>
        <w:t>万元人民币、</w:t>
      </w:r>
      <w:r>
        <w:rPr>
          <w:rFonts w:ascii="SimSun" w:eastAsiaTheme="minorEastAsia" w:hAnsiTheme="minorHAnsi" w:cstheme="minorBidi"/>
          <w:color w:val="000000"/>
          <w:sz w:val="21"/>
          <w:szCs w:val="22"/>
          <w:lang w:val="en-US" w:eastAsia="en-US" w:bidi="ar-SA"/>
        </w:rPr>
        <w:t>4500</w:t>
      </w:r>
      <w:r>
        <w:rPr>
          <w:rFonts w:ascii="SimSun" w:hAnsi="SimSun" w:eastAsiaTheme="minorEastAsia" w:cs="SimSun"/>
          <w:color w:val="000000"/>
          <w:spacing w:val="-1"/>
          <w:sz w:val="21"/>
          <w:szCs w:val="22"/>
          <w:lang w:val="en-US" w:eastAsia="en-US" w:bidi="ar-SA"/>
        </w:rPr>
        <w:t>万元人</w:t>
      </w:r>
    </w:p>
    <w:p>
      <w:pPr>
        <w:framePr w:w="9110" w:x="1798" w:y="1106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民币的最高额抵押合同，潍坊先达以其财产为主合同债务人履行债务提供最高额抵押担保，截止</w:t>
      </w:r>
    </w:p>
    <w:p>
      <w:pPr>
        <w:framePr w:w="9110" w:x="1798" w:y="1106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日，潍坊先达抵押房产的账面价值为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4,631.77</w:t>
      </w:r>
      <w:r>
        <w:rPr>
          <w:rFonts w:ascii="SimSun" w:hAnsi="SimSun" w:eastAsiaTheme="minorEastAsia" w:cs="SimSun"/>
          <w:color w:val="000000"/>
          <w:sz w:val="21"/>
          <w:szCs w:val="22"/>
          <w:lang w:val="en-US" w:eastAsia="en-US" w:bidi="ar-SA"/>
        </w:rPr>
        <w:t>万元。</w:t>
      </w:r>
    </w:p>
    <w:p>
      <w:pPr>
        <w:framePr w:w="9064" w:x="1798" w:y="1229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辽宁先达与中信银行葫芦岛分行签订本金为</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万元人民币的最高额抵押合同，辽宁先</w:t>
      </w:r>
    </w:p>
    <w:p>
      <w:pPr>
        <w:framePr w:w="9064" w:x="1798" w:y="122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达以其拥有的国有土地使用权及在建工程为主合同债务人履行债务提供最高额抵押担保，截止</w:t>
      </w:r>
    </w:p>
    <w:p>
      <w:pPr>
        <w:framePr w:w="9064" w:x="1798" w:y="1229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日，辽宁先达抵押固定资产的账面价值为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2,733.72</w:t>
      </w:r>
      <w:r>
        <w:rPr>
          <w:rFonts w:ascii="SimSun" w:hAnsi="SimSun" w:eastAsiaTheme="minorEastAsia" w:cs="SimSun"/>
          <w:color w:val="000000"/>
          <w:sz w:val="21"/>
          <w:szCs w:val="22"/>
          <w:lang w:val="en-US" w:eastAsia="en-US" w:bidi="ar-SA"/>
        </w:rPr>
        <w:t>万元。</w:t>
      </w:r>
    </w:p>
    <w:p>
      <w:pPr>
        <w:framePr w:w="3149" w:x="1798" w:y="135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暂时闲置的固定资产情况</w:t>
      </w:r>
    </w:p>
    <w:p>
      <w:pPr>
        <w:framePr w:w="3149" w:x="1798" w:y="13576"/>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991" w:x="1798" w:y="145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通过融资租赁租入的固定资产情况</w:t>
      </w:r>
    </w:p>
    <w:p>
      <w:pPr>
        <w:framePr w:w="1817" w:x="1798" w:y="149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1" type="#_x0000_t75" style="width:445.6pt;height:2.7pt;margin-top:53.65pt;margin-left:87.45pt;mso-position-horizontal-relative:page;mso-position-vertical-relative:page;position:absolute;z-index:-251444224">
            <v:imagedata r:id="rId169" o:title=""/>
          </v:shape>
        </w:pict>
      </w:r>
      <w:r>
        <w:rPr>
          <w:noProof/>
        </w:rPr>
        <w:pict>
          <v:shape id="_x0000_s1232" type="#_x0000_t75" style="width:477.5pt;height:411.95pt;margin-top:134.8pt;margin-left:67.3pt;mso-position-horizontal-relative:page;mso-position-vertical-relative:page;position:absolute;z-index:-251553792">
            <v:imagedata r:id="rId170" o:title=""/>
          </v:shape>
        </w:pict>
      </w:r>
    </w:p>
    <w:p>
      <w:pPr>
        <w:spacing w:line="0" w:lineRule="atLeast"/>
        <w:rPr>
          <w:rFonts w:ascii="Arial" w:eastAsiaTheme="minorEastAsia" w:hAnsiTheme="minorHAnsi" w:cstheme="minorBidi"/>
          <w:color w:val="FF0000"/>
          <w:sz w:val="2"/>
          <w:szCs w:val="22"/>
          <w:lang w:val="en-US" w:eastAsia="en-US" w:bidi="ar-SA"/>
        </w:rPr>
      </w:pPr>
      <w:bookmarkStart w:id="103" w:name="br1_102"/>
      <w:bookmarkEnd w:id="10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56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通过经营租赁租出的固定资产</w:t>
      </w:r>
    </w:p>
    <w:p>
      <w:pPr>
        <w:framePr w:w="3569" w:x="1798" w:y="1535"/>
        <w:widowControl w:val="0"/>
        <w:autoSpaceDE w:val="0"/>
        <w:autoSpaceDN w:val="0"/>
        <w:spacing w:before="2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780"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未办妥产权证书的固定资产情况</w:t>
      </w:r>
    </w:p>
    <w:p>
      <w:pPr>
        <w:framePr w:w="3780" w:x="1798" w:y="247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32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817" w:x="1798" w:y="3497"/>
        <w:widowControl w:val="0"/>
        <w:autoSpaceDE w:val="0"/>
        <w:autoSpaceDN w:val="0"/>
        <w:spacing w:line="211" w:lineRule="exact"/>
        <w:ind w:left="115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17" w:x="1798" w:y="349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房屋及建筑物</w:t>
      </w:r>
    </w:p>
    <w:p>
      <w:pPr>
        <w:framePr w:w="1817" w:x="1798" w:y="34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739" w:y="34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2352" w:x="8161" w:y="34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未办妥产权证书的原因</w:t>
      </w:r>
    </w:p>
    <w:p>
      <w:pPr>
        <w:framePr w:w="4242" w:x="6102" w:y="37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114,001,669.03</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产权证书正在办理过程中</w:t>
      </w:r>
    </w:p>
    <w:p>
      <w:pPr>
        <w:framePr w:w="1718" w:x="6102" w:y="40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114,001,669.03</w:t>
      </w:r>
    </w:p>
    <w:p>
      <w:pPr>
        <w:framePr w:w="1296" w:x="1798" w:y="4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5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7" w:x="1798" w:y="5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固定资产清理</w:t>
      </w:r>
    </w:p>
    <w:p>
      <w:pPr>
        <w:framePr w:w="1817" w:x="1798" w:y="60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67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在建工程</w:t>
      </w:r>
    </w:p>
    <w:p>
      <w:pPr>
        <w:framePr w:w="1589" w:x="1798" w:y="6703"/>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7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6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937" w:x="1798" w:y="7923"/>
        <w:widowControl w:val="0"/>
        <w:autoSpaceDE w:val="0"/>
        <w:autoSpaceDN w:val="0"/>
        <w:spacing w:line="211" w:lineRule="exact"/>
        <w:ind w:left="12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37" w:x="1798" w:y="79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2014" w:x="5929" w:y="79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014" w:x="5929" w:y="7923"/>
        <w:widowControl w:val="0"/>
        <w:autoSpaceDE w:val="0"/>
        <w:autoSpaceDN w:val="0"/>
        <w:spacing w:before="72" w:line="211" w:lineRule="exact"/>
        <w:ind w:left="30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446,695,754.64</w:t>
      </w:r>
    </w:p>
    <w:p>
      <w:pPr>
        <w:framePr w:w="2007" w:x="8862" w:y="79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007" w:x="8862" w:y="7923"/>
        <w:widowControl w:val="0"/>
        <w:autoSpaceDE w:val="0"/>
        <w:autoSpaceDN w:val="0"/>
        <w:spacing w:before="72" w:line="211" w:lineRule="exact"/>
        <w:ind w:left="29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356,621,082.20</w:t>
      </w:r>
    </w:p>
    <w:p>
      <w:pPr>
        <w:framePr w:w="1085" w:x="1798" w:y="8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工程物资</w:t>
      </w:r>
    </w:p>
    <w:p>
      <w:pPr>
        <w:framePr w:w="1718" w:x="6234" w:y="8487"/>
        <w:widowControl w:val="0"/>
        <w:autoSpaceDE w:val="0"/>
        <w:autoSpaceDN w:val="0"/>
        <w:spacing w:line="211" w:lineRule="exact"/>
        <w:ind w:left="10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20,680,609.74</w:t>
      </w:r>
    </w:p>
    <w:p>
      <w:pPr>
        <w:framePr w:w="1718" w:x="6234" w:y="848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467,376,364.38</w:t>
      </w:r>
    </w:p>
    <w:p>
      <w:pPr>
        <w:framePr w:w="1718" w:x="9156" w:y="8487"/>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18,168,031.13</w:t>
      </w:r>
    </w:p>
    <w:p>
      <w:pPr>
        <w:framePr w:w="1718" w:x="9156" w:y="848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374,789,113.33</w:t>
      </w:r>
    </w:p>
    <w:p>
      <w:pPr>
        <w:framePr w:w="662" w:x="3072" w:y="8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9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9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085" w:x="1798" w:y="100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在建工程</w:t>
      </w:r>
    </w:p>
    <w:p>
      <w:pPr>
        <w:framePr w:w="2095" w:x="1798" w:y="10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在建工程情况</w:t>
      </w:r>
    </w:p>
    <w:p>
      <w:pPr>
        <w:framePr w:w="2095" w:x="1798" w:y="1039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0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002"/>
        <w:widowControl w:val="0"/>
        <w:autoSpaceDE w:val="0"/>
        <w:autoSpaceDN w:val="0"/>
        <w:spacing w:before="72" w:line="211" w:lineRule="exact"/>
        <w:ind w:left="50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4311" w:y="11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1258" w:y="11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2811" w:y="11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4326" w:y="11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085" w:x="5828" w:y="11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396" w:y="11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8824" w:y="11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减值准备</w:t>
      </w:r>
    </w:p>
    <w:p>
      <w:pPr>
        <w:framePr w:w="1085" w:x="10252" w:y="115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3605" w:x="552" w:y="11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6000</w:t>
      </w:r>
      <w:r>
        <w:rPr>
          <w:rFonts w:ascii="SimSun" w:hAnsi="SimSun" w:eastAsiaTheme="minorEastAsia" w:cs="SimSun"/>
          <w:color w:val="000000"/>
          <w:spacing w:val="-1"/>
          <w:sz w:val="21"/>
          <w:szCs w:val="22"/>
          <w:lang w:val="en-US" w:eastAsia="en-US" w:bidi="ar-SA"/>
        </w:rPr>
        <w:t>吨原</w:t>
      </w:r>
      <w:r>
        <w:rPr>
          <w:rFonts w:eastAsiaTheme="minorEastAsia" w:hAnsiTheme="minorHAnsi" w:cstheme="minorBidi"/>
          <w:color w:val="000000"/>
          <w:spacing w:val="26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404,456,805.37</w:t>
      </w:r>
    </w:p>
    <w:p>
      <w:pPr>
        <w:framePr w:w="3605" w:x="552" w:y="11849"/>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z w:val="21"/>
          <w:szCs w:val="22"/>
          <w:lang w:val="en-US" w:eastAsia="en-US" w:bidi="ar-SA"/>
        </w:rPr>
        <w:t>吨制剂”</w:t>
      </w:r>
    </w:p>
    <w:p>
      <w:pPr>
        <w:framePr w:w="3605" w:x="552" w:y="1184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3317" w:x="5478" w:y="11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404,456,805.37</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320,172,135.85</w:t>
      </w:r>
    </w:p>
    <w:p>
      <w:pPr>
        <w:framePr w:w="1718" w:x="9938" w:y="118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320,172,135.85</w:t>
      </w:r>
    </w:p>
    <w:p>
      <w:pPr>
        <w:framePr w:w="3605" w:x="552" w:y="12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z w:val="21"/>
          <w:szCs w:val="22"/>
          <w:lang w:val="en-US" w:eastAsia="en-US" w:bidi="ar-SA"/>
        </w:rPr>
        <w:t>吨烯草</w:t>
      </w:r>
      <w:r>
        <w:rPr>
          <w:rFonts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35,601,132.12</w:t>
      </w:r>
    </w:p>
    <w:p>
      <w:pPr>
        <w:framePr w:w="3605" w:x="552" w:y="126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酮原药、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pacing w:val="1"/>
          <w:sz w:val="21"/>
          <w:szCs w:val="22"/>
          <w:lang w:val="en-US" w:eastAsia="en-US" w:bidi="ar-SA"/>
        </w:rPr>
        <w:t>吨硫</w:t>
      </w:r>
    </w:p>
    <w:p>
      <w:pPr>
        <w:framePr w:w="3605" w:x="552" w:y="1267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化碱和</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9000</w:t>
      </w:r>
      <w:r>
        <w:rPr>
          <w:rFonts w:ascii="SimSun" w:hAnsi="SimSun" w:eastAsiaTheme="minorEastAsia" w:cs="SimSun"/>
          <w:color w:val="000000"/>
          <w:sz w:val="21"/>
          <w:szCs w:val="22"/>
          <w:lang w:val="en-US" w:eastAsia="en-US" w:bidi="ar-SA"/>
        </w:rPr>
        <w:t>吨熔融</w:t>
      </w:r>
    </w:p>
    <w:p>
      <w:pPr>
        <w:framePr w:w="3605" w:x="552" w:y="1267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盐”项目</w:t>
      </w:r>
    </w:p>
    <w:p>
      <w:pPr>
        <w:framePr w:w="3212" w:x="5583" w:y="12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35,601,132.12</w:t>
      </w:r>
      <w:r>
        <w:rPr>
          <w:rFonts w:ascii="SimSun" w:eastAsiaTheme="minorEastAsia" w:hAnsiTheme="minorHAnsi" w:cstheme="minorBidi"/>
          <w:color w:val="000000"/>
          <w:spacing w:val="13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33,031,678.32</w:t>
      </w:r>
    </w:p>
    <w:p>
      <w:pPr>
        <w:framePr w:w="1613" w:x="10044" w:y="126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33,031,678.32</w:t>
      </w:r>
    </w:p>
    <w:p>
      <w:pPr>
        <w:framePr w:w="1085" w:x="552" w:y="13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潍坊新厂</w:t>
      </w:r>
    </w:p>
    <w:p>
      <w:pPr>
        <w:framePr w:w="8997" w:x="2655" w:y="137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5,613,540.00</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2,717,920.00</w:t>
      </w:r>
      <w:r>
        <w:rPr>
          <w:rFonts w:ascii="SimSun" w:eastAsiaTheme="minorEastAsia" w:hAnsiTheme="minorHAnsi" w:cstheme="minorBidi"/>
          <w:color w:val="000000"/>
          <w:spacing w:val="24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2,895,620.00</w:t>
      </w:r>
      <w:r>
        <w:rPr>
          <w:rFonts w:ascii="SimSun" w:eastAsiaTheme="minorEastAsia" w:hAnsiTheme="minorHAnsi" w:cstheme="minorBidi"/>
          <w:color w:val="000000"/>
          <w:spacing w:val="23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5,613,540.00</w:t>
      </w:r>
      <w:r>
        <w:rPr>
          <w:rFonts w:ascii="SimSun" w:eastAsiaTheme="minorEastAsia" w:hAnsiTheme="minorHAnsi" w:cstheme="minorBidi"/>
          <w:color w:val="000000"/>
          <w:spacing w:val="-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2,717,920.00</w:t>
      </w:r>
      <w:r>
        <w:rPr>
          <w:rFonts w:ascii="SimSun" w:eastAsiaTheme="minorEastAsia" w:hAnsiTheme="minorHAnsi" w:cstheme="minorBidi"/>
          <w:color w:val="000000"/>
          <w:spacing w:val="16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2,895,620.00</w:t>
      </w:r>
    </w:p>
    <w:p>
      <w:pPr>
        <w:framePr w:w="1930" w:x="552" w:y="14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潍坊新厂烯酰吗啉</w:t>
      </w:r>
    </w:p>
    <w:p>
      <w:pPr>
        <w:framePr w:w="1930" w:x="552" w:y="1405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190" w:x="2969" w:y="1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1190" w:x="4395" w:y="1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2510" w:x="7607" w:y="1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r>
        <w:rPr>
          <w:rFonts w:ascii="SimSun" w:eastAsiaTheme="minorEastAsia" w:hAnsiTheme="minorHAnsi" w:cstheme="minorBidi"/>
          <w:color w:val="000000"/>
          <w:spacing w:val="27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50,000.00</w:t>
      </w:r>
    </w:p>
    <w:p>
      <w:pPr>
        <w:framePr w:w="2028" w:x="552" w:y="146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烯草酮车间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VOCs</w:t>
      </w:r>
      <w:r>
        <w:rPr>
          <w:rFonts w:ascii="SimSun" w:hAnsi="SimSun" w:eastAsiaTheme="minorEastAsia" w:cs="SimSun"/>
          <w:color w:val="000000"/>
          <w:sz w:val="21"/>
          <w:szCs w:val="22"/>
          <w:lang w:val="en-US" w:eastAsia="en-US" w:bidi="ar-SA"/>
        </w:rPr>
        <w:t>处</w:t>
      </w:r>
    </w:p>
    <w:p>
      <w:pPr>
        <w:framePr w:w="2028" w:x="552" w:y="1461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理装置</w:t>
      </w:r>
    </w:p>
    <w:p>
      <w:pPr>
        <w:framePr w:w="1190" w:x="2969" w:y="146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30,852.37</w:t>
      </w:r>
    </w:p>
    <w:p>
      <w:pPr>
        <w:framePr w:w="1190" w:x="6003" w:y="146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30,852.37</w:t>
      </w:r>
    </w:p>
    <w:p>
      <w:pPr>
        <w:framePr w:w="1190" w:x="7607" w:y="146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30,852.37</w:t>
      </w:r>
    </w:p>
    <w:p>
      <w:pPr>
        <w:framePr w:w="1190" w:x="10464" w:y="146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30,852.37</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3" type="#_x0000_t75" style="width:445.6pt;height:2.7pt;margin-top:53.65pt;margin-left:87.45pt;mso-position-horizontal-relative:page;mso-position-vertical-relative:page;position:absolute;z-index:-251330560">
            <v:imagedata r:id="rId171" o:title=""/>
          </v:shape>
        </w:pict>
      </w:r>
      <w:r>
        <w:rPr>
          <w:noProof/>
        </w:rPr>
        <w:pict>
          <v:shape id="_x0000_s1234" type="#_x0000_t75" style="width:454.95pt;height:44.85pt;margin-top:171.85pt;margin-left:83.25pt;mso-position-horizontal-relative:page;mso-position-vertical-relative:page;position:absolute;z-index:-251372544">
            <v:imagedata r:id="rId172" o:title=""/>
          </v:shape>
        </w:pict>
      </w:r>
      <w:r>
        <w:rPr>
          <w:noProof/>
        </w:rPr>
        <w:pict>
          <v:shape id="_x0000_s1235" type="#_x0000_t75" style="width:455.55pt;height:59pt;margin-top:393.15pt;margin-left:83pt;mso-position-horizontal-relative:page;mso-position-vertical-relative:page;position:absolute;z-index:-251443200">
            <v:imagedata r:id="rId173" o:title=""/>
          </v:shape>
        </w:pict>
      </w:r>
      <w:r>
        <w:rPr>
          <w:noProof/>
        </w:rPr>
        <w:pict>
          <v:shape id="_x0000_s1236" type="#_x0000_t75" style="width:548.45pt;height:196.65pt;margin-top:561.3pt;margin-left:24.8pt;mso-position-horizontal-relative:page;mso-position-vertical-relative:page;position:absolute;z-index:-251552768">
            <v:imagedata r:id="rId174" o:title=""/>
          </v:shape>
        </w:pict>
      </w:r>
    </w:p>
    <w:p>
      <w:pPr>
        <w:spacing w:line="0" w:lineRule="atLeast"/>
        <w:rPr>
          <w:rFonts w:ascii="Arial" w:eastAsiaTheme="minorEastAsia" w:hAnsiTheme="minorHAnsi" w:cstheme="minorBidi"/>
          <w:color w:val="FF0000"/>
          <w:sz w:val="2"/>
          <w:szCs w:val="22"/>
          <w:lang w:val="en-US" w:eastAsia="en-US" w:bidi="ar-SA"/>
        </w:rPr>
      </w:pPr>
      <w:bookmarkStart w:id="104" w:name="br1_103"/>
      <w:bookmarkEnd w:id="10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074" w:x="552"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RTO</w:t>
      </w:r>
      <w:r>
        <w:rPr>
          <w:rFonts w:ascii="SimSun" w:hAnsi="SimSun" w:eastAsiaTheme="minorEastAsia" w:cs="SimSun"/>
          <w:color w:val="000000"/>
          <w:sz w:val="21"/>
          <w:szCs w:val="22"/>
          <w:lang w:val="en-US" w:eastAsia="en-US" w:bidi="ar-SA"/>
        </w:rPr>
        <w:t>排气筒在线监测</w:t>
      </w:r>
    </w:p>
    <w:p>
      <w:pPr>
        <w:framePr w:w="2074" w:x="552" w:y="1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仪监测台施工</w:t>
      </w:r>
    </w:p>
    <w:p>
      <w:pPr>
        <w:framePr w:w="2074" w:x="552"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沈阳万菱工程</w:t>
      </w:r>
    </w:p>
    <w:p>
      <w:pPr>
        <w:framePr w:w="2074" w:x="552"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生化系统技术改造</w:t>
      </w:r>
    </w:p>
    <w:p>
      <w:pPr>
        <w:framePr w:w="2074" w:x="552" w:y="154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190" w:x="296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97,025.13</w:t>
      </w:r>
    </w:p>
    <w:p>
      <w:pPr>
        <w:framePr w:w="1190" w:x="600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97,025.13</w:t>
      </w:r>
    </w:p>
    <w:p>
      <w:pPr>
        <w:framePr w:w="1190" w:x="7607"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90,208.95</w:t>
      </w:r>
    </w:p>
    <w:p>
      <w:pPr>
        <w:framePr w:w="1190" w:x="10464"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90,208.95</w:t>
      </w:r>
    </w:p>
    <w:p>
      <w:pPr>
        <w:framePr w:w="1296" w:x="2864"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642,346.25</w:t>
      </w:r>
    </w:p>
    <w:p>
      <w:pPr>
        <w:framePr w:w="1296" w:x="2864" w:y="210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225,148.21</w:t>
      </w:r>
    </w:p>
    <w:p>
      <w:pPr>
        <w:framePr w:w="1296" w:x="5898"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642,346.25</w:t>
      </w:r>
    </w:p>
    <w:p>
      <w:pPr>
        <w:framePr w:w="1296" w:x="5898" w:y="210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225,148.21</w:t>
      </w:r>
    </w:p>
    <w:p>
      <w:pPr>
        <w:framePr w:w="1296" w:x="7501"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206,411.95</w:t>
      </w:r>
    </w:p>
    <w:p>
      <w:pPr>
        <w:framePr w:w="1296" w:x="7501" w:y="210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194,174.76</w:t>
      </w:r>
    </w:p>
    <w:p>
      <w:pPr>
        <w:framePr w:w="1296" w:x="10358"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206,411.95</w:t>
      </w:r>
    </w:p>
    <w:p>
      <w:pPr>
        <w:framePr w:w="1296" w:x="10358" w:y="210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194,174.76</w:t>
      </w:r>
    </w:p>
    <w:p>
      <w:pPr>
        <w:framePr w:w="1930" w:x="552" w:y="2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生产保障车间蒸发</w:t>
      </w:r>
    </w:p>
    <w:p>
      <w:pPr>
        <w:framePr w:w="1930" w:x="552" w:y="293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冷安装</w:t>
      </w:r>
    </w:p>
    <w:p>
      <w:pPr>
        <w:framePr w:w="1190" w:x="2969" w:y="29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27,522.94</w:t>
      </w:r>
    </w:p>
    <w:p>
      <w:pPr>
        <w:framePr w:w="1190" w:x="6003" w:y="293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27,522.94</w:t>
      </w:r>
    </w:p>
    <w:p>
      <w:pPr>
        <w:framePr w:w="1296" w:x="552" w:y="34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杀菌剂车间</w:t>
      </w:r>
    </w:p>
    <w:p>
      <w:pPr>
        <w:framePr w:w="1296" w:x="2864" w:y="34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284,403.67</w:t>
      </w:r>
    </w:p>
    <w:p>
      <w:pPr>
        <w:framePr w:w="1296" w:x="5898" w:y="349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284,403.67</w:t>
      </w:r>
    </w:p>
    <w:p>
      <w:pPr>
        <w:framePr w:w="3605" w:x="552" w:y="37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'RD57</w:t>
      </w:r>
      <w:r>
        <w:rPr>
          <w:rFonts w:ascii="SimSun" w:hAnsi="SimSun" w:eastAsiaTheme="minorEastAsia" w:cs="SimSun"/>
          <w:color w:val="000000"/>
          <w:sz w:val="21"/>
          <w:szCs w:val="22"/>
          <w:lang w:val="en-US" w:eastAsia="en-US" w:bidi="ar-SA"/>
        </w:rPr>
        <w:t>高效生物悬浮</w:t>
      </w:r>
      <w:r>
        <w:rPr>
          <w:rFonts w:eastAsiaTheme="minorEastAsia" w:hAnsiTheme="minorHAnsi" w:cstheme="minorBidi"/>
          <w:color w:val="000000"/>
          <w:spacing w:val="2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1,428,106.71</w:t>
      </w:r>
    </w:p>
    <w:p>
      <w:pPr>
        <w:framePr w:w="3605" w:x="552" w:y="377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床的应用和生气尾</w:t>
      </w:r>
    </w:p>
    <w:p>
      <w:pPr>
        <w:framePr w:w="1507" w:x="5689" w:y="37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1,428,106.71</w:t>
      </w:r>
    </w:p>
    <w:p>
      <w:pPr>
        <w:framePr w:w="1296" w:x="552" w:y="4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气治理项目</w:t>
      </w:r>
    </w:p>
    <w:p>
      <w:pPr>
        <w:framePr w:w="1930" w:x="552" w:y="46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污水在线检测间建</w:t>
      </w:r>
    </w:p>
    <w:p>
      <w:pPr>
        <w:framePr w:w="1930" w:x="552" w:y="460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筑安装工程</w:t>
      </w:r>
    </w:p>
    <w:p>
      <w:pPr>
        <w:framePr w:w="1930" w:x="552" w:y="4603"/>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自控仪表系统</w:t>
      </w:r>
    </w:p>
    <w:p>
      <w:pPr>
        <w:framePr w:w="1930" w:x="552" w:y="4603"/>
        <w:widowControl w:val="0"/>
        <w:autoSpaceDE w:val="0"/>
        <w:autoSpaceDN w:val="0"/>
        <w:spacing w:before="72" w:line="211" w:lineRule="exact"/>
        <w:ind w:left="7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2864"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295,901.72</w:t>
      </w:r>
    </w:p>
    <w:p>
      <w:pPr>
        <w:framePr w:w="1296" w:x="5898" w:y="46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295,901.72</w:t>
      </w:r>
    </w:p>
    <w:p>
      <w:pPr>
        <w:framePr w:w="1296" w:x="5898" w:y="4603"/>
        <w:widowControl w:val="0"/>
        <w:autoSpaceDE w:val="0"/>
        <w:autoSpaceDN w:val="0"/>
        <w:spacing w:before="3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710,890.15</w:t>
      </w:r>
    </w:p>
    <w:p>
      <w:pPr>
        <w:framePr w:w="1296" w:x="2864" w:y="51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710,890.15</w:t>
      </w:r>
    </w:p>
    <w:p>
      <w:pPr>
        <w:framePr w:w="9105" w:x="2547" w:y="54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449,463,674.64</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2,767,920.00</w:t>
      </w:r>
      <w:r>
        <w:rPr>
          <w:rFonts w:ascii="SimSun" w:eastAsiaTheme="minorEastAsia" w:hAnsiTheme="minorHAnsi" w:cstheme="minorBidi"/>
          <w:color w:val="000000"/>
          <w:spacing w:val="3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446,695,754.64</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359,389,002.20</w:t>
      </w:r>
      <w:r>
        <w:rPr>
          <w:rFonts w:ascii="SimSun" w:eastAsiaTheme="minorEastAsia" w:hAnsiTheme="minorHAnsi" w:cstheme="minorBidi"/>
          <w:color w:val="000000"/>
          <w:spacing w:val="-4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2,767,920.00</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356,621,082.20</w:t>
      </w:r>
    </w:p>
    <w:p>
      <w:pPr>
        <w:framePr w:w="8688" w:x="2218" w:y="5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辽宁先达与中信银行葫芦岛分行签订本金为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15,000</w:t>
      </w:r>
      <w:r>
        <w:rPr>
          <w:rFonts w:ascii="SimSun" w:hAnsi="SimSun" w:eastAsiaTheme="minorEastAsia" w:cs="SimSun"/>
          <w:color w:val="000000"/>
          <w:spacing w:val="-5"/>
          <w:sz w:val="21"/>
          <w:szCs w:val="22"/>
          <w:lang w:val="en-US" w:eastAsia="en-US" w:bidi="ar-SA"/>
        </w:rPr>
        <w:t>万元人民币的最高额抵押合同，辽宁先达</w:t>
      </w:r>
    </w:p>
    <w:p>
      <w:pPr>
        <w:framePr w:w="9110" w:x="1798" w:y="625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以其拥有的国有土地使用权及在建工程为主合同债务人履行债务提供最高额抵押担保，截止</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2020</w:t>
      </w:r>
    </w:p>
    <w:p>
      <w:pPr>
        <w:framePr w:w="9110" w:x="1798" w:y="625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日，辽宁先达抵押在建工程的账面价值为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8,343.50</w:t>
      </w:r>
      <w:r>
        <w:rPr>
          <w:rFonts w:ascii="SimSun" w:hAnsi="SimSun" w:eastAsiaTheme="minorEastAsia" w:cs="SimSun"/>
          <w:color w:val="000000"/>
          <w:sz w:val="21"/>
          <w:szCs w:val="22"/>
          <w:lang w:val="en-US" w:eastAsia="en-US" w:bidi="ar-SA"/>
        </w:rPr>
        <w:t>万元。</w:t>
      </w:r>
    </w:p>
    <w:p>
      <w:pPr>
        <w:framePr w:w="3780" w:x="1798" w:y="7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重要在建工程项目本期变动情况</w:t>
      </w:r>
    </w:p>
    <w:p>
      <w:pPr>
        <w:framePr w:w="1817" w:x="1798" w:y="74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63" w:x="8109" w:y="77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单位：万元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5022" w:y="8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662" w:x="5022" w:y="801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转入</w:t>
      </w:r>
    </w:p>
    <w:p>
      <w:pPr>
        <w:framePr w:w="662" w:x="5022" w:y="801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固定</w:t>
      </w:r>
    </w:p>
    <w:p>
      <w:pPr>
        <w:framePr w:w="662" w:x="5022" w:y="801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662" w:x="5022" w:y="801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10372" w:y="80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662" w:x="5730" w:y="8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662" w:x="5730" w:y="815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5730" w:y="815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减少</w:t>
      </w:r>
    </w:p>
    <w:p>
      <w:pPr>
        <w:framePr w:w="662" w:x="5730" w:y="815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7408" w:y="8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工程累计</w:t>
      </w:r>
    </w:p>
    <w:p>
      <w:pPr>
        <w:framePr w:w="874" w:x="9631" w:y="81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874" w:x="9631" w:y="815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本期利</w:t>
      </w:r>
    </w:p>
    <w:p>
      <w:pPr>
        <w:framePr w:w="874" w:x="9631" w:y="815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息资本</w:t>
      </w:r>
    </w:p>
    <w:p>
      <w:pPr>
        <w:framePr w:w="874" w:x="9631" w:y="815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化金额</w:t>
      </w:r>
    </w:p>
    <w:p>
      <w:pPr>
        <w:framePr w:w="874" w:x="8932" w:y="8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利息资</w:t>
      </w:r>
    </w:p>
    <w:p>
      <w:pPr>
        <w:framePr w:w="874" w:x="8932" w:y="82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本化累</w:t>
      </w:r>
    </w:p>
    <w:p>
      <w:pPr>
        <w:framePr w:w="874" w:x="8932" w:y="828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计金额</w:t>
      </w:r>
    </w:p>
    <w:p>
      <w:pPr>
        <w:framePr w:w="662" w:x="10372" w:y="8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利息</w:t>
      </w:r>
    </w:p>
    <w:p>
      <w:pPr>
        <w:framePr w:w="662" w:x="10372" w:y="828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资本</w:t>
      </w:r>
    </w:p>
    <w:p>
      <w:pPr>
        <w:framePr w:w="662" w:x="10372" w:y="828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化率</w:t>
      </w:r>
    </w:p>
    <w:p>
      <w:pPr>
        <w:framePr w:w="662" w:x="10372" w:y="8288"/>
        <w:widowControl w:val="0"/>
        <w:autoSpaceDE w:val="0"/>
        <w:autoSpaceDN w:val="0"/>
        <w:spacing w:before="60"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662" w:x="3387" w:y="8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期初</w:t>
      </w:r>
    </w:p>
    <w:p>
      <w:pPr>
        <w:framePr w:w="662" w:x="3387" w:y="842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874" w:x="4134" w:y="8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本期增</w:t>
      </w:r>
    </w:p>
    <w:p>
      <w:pPr>
        <w:framePr w:w="874" w:x="4134" w:y="842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加金额</w:t>
      </w:r>
    </w:p>
    <w:p>
      <w:pPr>
        <w:framePr w:w="662" w:x="6630" w:y="8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期末</w:t>
      </w:r>
    </w:p>
    <w:p>
      <w:pPr>
        <w:framePr w:w="662" w:x="6630" w:y="842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1646" w:x="7408" w:y="8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投入占预</w:t>
      </w:r>
      <w:r>
        <w:rPr>
          <w:rFonts w:eastAsiaTheme="minorEastAsia" w:hAnsiTheme="minorHAnsi" w:cstheme="minorBidi"/>
          <w:color w:val="000000"/>
          <w:spacing w:val="9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工程</w:t>
      </w:r>
    </w:p>
    <w:p>
      <w:pPr>
        <w:framePr w:w="1646" w:x="7408" w:y="8424"/>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算比例</w:t>
      </w:r>
      <w:r>
        <w:rPr>
          <w:rFonts w:eastAsiaTheme="minorEastAsia" w:hAnsiTheme="minorHAnsi" w:cstheme="minorBidi"/>
          <w:color w:val="000000"/>
          <w:spacing w:val="19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进度</w:t>
      </w:r>
    </w:p>
    <w:p>
      <w:pPr>
        <w:framePr w:w="1646" w:x="7408" w:y="8424"/>
        <w:widowControl w:val="0"/>
        <w:autoSpaceDE w:val="0"/>
        <w:autoSpaceDN w:val="0"/>
        <w:spacing w:before="62" w:line="211" w:lineRule="exact"/>
        <w:ind w:left="26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874" w:x="10912" w:y="84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资金来</w:t>
      </w:r>
    </w:p>
    <w:p>
      <w:pPr>
        <w:framePr w:w="874" w:x="10912" w:y="8424"/>
        <w:widowControl w:val="0"/>
        <w:autoSpaceDE w:val="0"/>
        <w:autoSpaceDN w:val="0"/>
        <w:spacing w:before="60"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源</w:t>
      </w:r>
    </w:p>
    <w:p>
      <w:pPr>
        <w:framePr w:w="1085" w:x="900" w:y="85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项目名称</w:t>
      </w:r>
    </w:p>
    <w:p>
      <w:pPr>
        <w:framePr w:w="874" w:x="2352" w:y="85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预算数</w:t>
      </w:r>
    </w:p>
    <w:p>
      <w:pPr>
        <w:framePr w:w="5202" w:x="552" w:y="93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6000</w:t>
      </w:r>
      <w:r>
        <w:rPr>
          <w:rFonts w:ascii="SimSun" w:hAnsi="SimSun" w:eastAsiaTheme="minorEastAsia" w:cs="SimSun"/>
          <w:color w:val="000000"/>
          <w:spacing w:val="-1"/>
          <w:sz w:val="21"/>
          <w:szCs w:val="22"/>
          <w:lang w:val="en-US" w:eastAsia="en-US" w:bidi="ar-SA"/>
        </w:rPr>
        <w:t>吨原</w:t>
      </w:r>
      <w:r>
        <w:rPr>
          <w:rFonts w:eastAsiaTheme="minorEastAsia" w:hAnsiTheme="minorHAnsi" w:cstheme="minorBidi"/>
          <w:color w:val="000000"/>
          <w:spacing w:val="2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53,157.</w:t>
      </w:r>
      <w:r>
        <w:rPr>
          <w:rFonts w:ascii="SimSun" w:eastAsiaTheme="minorEastAsia" w:hAnsiTheme="minorHAnsi" w:cstheme="minorBidi"/>
          <w:color w:val="000000"/>
          <w:spacing w:val="1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32,017.</w:t>
      </w:r>
      <w:r>
        <w:rPr>
          <w:rFonts w:ascii="SimSun" w:eastAsiaTheme="minorEastAsia" w:hAnsiTheme="minorHAnsi" w:cstheme="minorBidi"/>
          <w:color w:val="000000"/>
          <w:spacing w:val="2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8,431.</w:t>
      </w:r>
      <w:r>
        <w:rPr>
          <w:rFonts w:ascii="SimSun" w:eastAsiaTheme="minorEastAsia" w:hAnsiTheme="minorHAnsi" w:cstheme="minorBidi"/>
          <w:color w:val="000000"/>
          <w:spacing w:val="16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2.69</w:t>
      </w:r>
    </w:p>
    <w:p>
      <w:pPr>
        <w:framePr w:w="1085" w:x="6472" w:y="93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40,445.6</w:t>
      </w:r>
    </w:p>
    <w:p>
      <w:pPr>
        <w:framePr w:w="1085" w:x="6472" w:y="9387"/>
        <w:widowControl w:val="0"/>
        <w:autoSpaceDE w:val="0"/>
        <w:autoSpaceDN w:val="0"/>
        <w:spacing w:before="60" w:line="211" w:lineRule="exact"/>
        <w:ind w:left="73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w:t>
      </w:r>
    </w:p>
    <w:p>
      <w:pPr>
        <w:framePr w:w="4028" w:x="7756" w:y="93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95.00</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95.0</w:t>
      </w:r>
      <w:r>
        <w:rPr>
          <w:rFonts w:ascii="SimSun" w:eastAsiaTheme="minorEastAsia" w:hAnsiTheme="minorHAnsi" w:cstheme="minorBidi"/>
          <w:color w:val="000000"/>
          <w:spacing w:val="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930.44</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463.38</w:t>
      </w:r>
      <w:r>
        <w:rPr>
          <w:rFonts w:ascii="SimSun" w:eastAsiaTheme="minorEastAsia" w:hAnsiTheme="minorHAnsi" w:cstheme="minorBidi"/>
          <w:color w:val="000000"/>
          <w:spacing w:val="5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6.17</w:t>
      </w:r>
      <w:r>
        <w:rPr>
          <w:rFonts w:ascii="SimSun" w:hAnsi="SimSun" w:eastAsiaTheme="minorEastAsia" w:cs="SimSun"/>
          <w:color w:val="000000"/>
          <w:spacing w:val="1"/>
          <w:sz w:val="21"/>
          <w:szCs w:val="22"/>
          <w:lang w:val="en-US" w:eastAsia="en-US" w:bidi="ar-SA"/>
        </w:rPr>
        <w:t>募集资</w:t>
      </w:r>
    </w:p>
    <w:p>
      <w:pPr>
        <w:framePr w:w="1661" w:x="552" w:y="96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药、</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pacing w:val="1"/>
          <w:sz w:val="21"/>
          <w:szCs w:val="22"/>
          <w:lang w:val="en-US" w:eastAsia="en-US" w:bidi="ar-SA"/>
        </w:rPr>
        <w:t>吨制</w:t>
      </w:r>
    </w:p>
    <w:p>
      <w:pPr>
        <w:framePr w:w="451" w:x="2871" w:y="96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83</w:t>
      </w:r>
    </w:p>
    <w:p>
      <w:pPr>
        <w:framePr w:w="451" w:x="3840" w:y="96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w:t>
      </w:r>
    </w:p>
    <w:p>
      <w:pPr>
        <w:framePr w:w="451" w:x="4607" w:y="96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w:t>
      </w:r>
    </w:p>
    <w:p>
      <w:pPr>
        <w:framePr w:w="346" w:x="8341" w:y="96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1044" w:x="10740" w:y="96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w:t>
      </w:r>
      <w:r>
        <w:rPr>
          <w:rFonts w:ascii="SimSun" w:eastAsiaTheme="minorEastAsia" w:hAnsiTheme="minorHAnsi" w:cstheme="minorBidi"/>
          <w:color w:val="000000"/>
          <w:spacing w:val="-4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金与自</w:t>
      </w:r>
    </w:p>
    <w:p>
      <w:pPr>
        <w:framePr w:w="1044" w:x="10740" w:y="9658"/>
        <w:widowControl w:val="0"/>
        <w:autoSpaceDE w:val="0"/>
        <w:autoSpaceDN w:val="0"/>
        <w:spacing w:before="62" w:line="211" w:lineRule="exact"/>
        <w:ind w:left="1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筹资金</w:t>
      </w:r>
    </w:p>
    <w:p>
      <w:pPr>
        <w:framePr w:w="1044" w:x="10740" w:y="9658"/>
        <w:widowControl w:val="0"/>
        <w:autoSpaceDE w:val="0"/>
        <w:autoSpaceDN w:val="0"/>
        <w:spacing w:before="72" w:line="211" w:lineRule="exact"/>
        <w:ind w:left="1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自筹资</w:t>
      </w:r>
    </w:p>
    <w:p>
      <w:pPr>
        <w:framePr w:w="1044" w:x="10740" w:y="9658"/>
        <w:widowControl w:val="0"/>
        <w:autoSpaceDE w:val="0"/>
        <w:autoSpaceDN w:val="0"/>
        <w:spacing w:before="60" w:line="211" w:lineRule="exact"/>
        <w:ind w:left="17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w:t>
      </w:r>
    </w:p>
    <w:p>
      <w:pPr>
        <w:framePr w:w="1085" w:x="552" w:y="99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剂”项目</w:t>
      </w:r>
    </w:p>
    <w:p>
      <w:pPr>
        <w:framePr w:w="4508" w:x="552" w:y="102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“年产</w:t>
      </w:r>
      <w:r>
        <w:rPr>
          <w:rFonts w:eastAsiaTheme="minorEastAsia" w:hAnsiTheme="minorHAnsi" w:cstheme="minorBidi"/>
          <w:color w:val="000000"/>
          <w:spacing w:val="-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w:t>
      </w:r>
      <w:r>
        <w:rPr>
          <w:rFonts w:ascii="SimSun" w:hAnsi="SimSun" w:eastAsiaTheme="minorEastAsia" w:cs="SimSun"/>
          <w:color w:val="000000"/>
          <w:spacing w:val="-1"/>
          <w:sz w:val="21"/>
          <w:szCs w:val="22"/>
          <w:lang w:val="en-US" w:eastAsia="en-US" w:bidi="ar-SA"/>
        </w:rPr>
        <w:t>吨烯</w:t>
      </w:r>
      <w:r>
        <w:rPr>
          <w:rFonts w:eastAsiaTheme="minorEastAsia" w:hAnsiTheme="minorHAnsi" w:cstheme="minorBidi"/>
          <w:color w:val="000000"/>
          <w:spacing w:val="2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12,000.</w:t>
      </w:r>
      <w:r>
        <w:rPr>
          <w:rFonts w:ascii="SimSun" w:eastAsiaTheme="minorEastAsia" w:hAnsiTheme="minorHAnsi" w:cstheme="minorBidi"/>
          <w:color w:val="000000"/>
          <w:spacing w:val="1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3,303.1</w:t>
      </w:r>
      <w:r>
        <w:rPr>
          <w:rFonts w:ascii="SimSun" w:eastAsiaTheme="minorEastAsia" w:hAnsiTheme="minorHAnsi" w:cstheme="minorBidi"/>
          <w:color w:val="000000"/>
          <w:spacing w:val="2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256.94</w:t>
      </w:r>
    </w:p>
    <w:p>
      <w:pPr>
        <w:framePr w:w="1085" w:x="6472" w:y="102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3,560.11</w:t>
      </w:r>
    </w:p>
    <w:p>
      <w:pPr>
        <w:framePr w:w="1248" w:x="7756" w:y="102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29.67</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w:t>
      </w:r>
    </w:p>
    <w:p>
      <w:pPr>
        <w:framePr w:w="1248" w:x="7756" w:y="10215"/>
        <w:widowControl w:val="0"/>
        <w:autoSpaceDE w:val="0"/>
        <w:autoSpaceDN w:val="0"/>
        <w:spacing w:before="60" w:line="211" w:lineRule="exact"/>
        <w:ind w:left="58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0</w:t>
      </w:r>
    </w:p>
    <w:p>
      <w:pPr>
        <w:framePr w:w="1824" w:x="552" w:y="104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草酮原药、</w:t>
      </w:r>
      <w:r>
        <w:rPr>
          <w:rFonts w:ascii="SimSun" w:eastAsiaTheme="minorEastAsia" w:hAnsiTheme="minorHAnsi" w:cstheme="minorBidi"/>
          <w:color w:val="000000"/>
          <w:sz w:val="21"/>
          <w:szCs w:val="22"/>
          <w:lang w:val="en-US" w:eastAsia="en-US" w:bidi="ar-SA"/>
        </w:rPr>
        <w:t>10000</w:t>
      </w:r>
    </w:p>
    <w:p>
      <w:pPr>
        <w:framePr w:w="1824" w:x="552" w:y="10486"/>
        <w:widowControl w:val="0"/>
        <w:autoSpaceDE w:val="0"/>
        <w:autoSpaceDN w:val="0"/>
        <w:spacing w:before="6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吨硫化碱和</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9000</w:t>
      </w:r>
    </w:p>
    <w:p>
      <w:pPr>
        <w:framePr w:w="1824" w:x="552" w:y="1048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吨熔融盐”项目</w:t>
      </w:r>
    </w:p>
    <w:p>
      <w:pPr>
        <w:framePr w:w="451" w:x="2871" w:y="104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03</w:t>
      </w:r>
    </w:p>
    <w:p>
      <w:pPr>
        <w:framePr w:w="346" w:x="3947" w:y="1048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w:t>
      </w:r>
    </w:p>
    <w:p>
      <w:pPr>
        <w:framePr w:w="3406" w:x="2348" w:y="11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65,157.</w:t>
      </w:r>
      <w:r>
        <w:rPr>
          <w:rFonts w:ascii="SimSun" w:eastAsiaTheme="minorEastAsia" w:hAnsiTheme="minorHAnsi" w:cstheme="minorBidi"/>
          <w:color w:val="000000"/>
          <w:spacing w:val="5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35,320.</w:t>
      </w:r>
      <w:r>
        <w:rPr>
          <w:rFonts w:ascii="SimSun" w:eastAsiaTheme="minorEastAsia" w:hAnsiTheme="minorHAnsi" w:cstheme="minorBidi"/>
          <w:color w:val="000000"/>
          <w:spacing w:val="98"/>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8,688.</w:t>
      </w:r>
      <w:r>
        <w:rPr>
          <w:rFonts w:ascii="SimSun" w:eastAsiaTheme="minorEastAsia" w:hAnsiTheme="minorHAnsi" w:cstheme="minorBidi"/>
          <w:color w:val="000000"/>
          <w:spacing w:val="166"/>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2.69</w:t>
      </w:r>
    </w:p>
    <w:p>
      <w:pPr>
        <w:framePr w:w="3406" w:x="2348" w:y="11314"/>
        <w:widowControl w:val="0"/>
        <w:autoSpaceDE w:val="0"/>
        <w:autoSpaceDN w:val="0"/>
        <w:spacing w:before="60" w:line="211" w:lineRule="exact"/>
        <w:ind w:left="52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86</w:t>
      </w:r>
      <w:r>
        <w:rPr>
          <w:rFonts w:ascii="SimSun" w:eastAsiaTheme="minorEastAsia" w:hAnsiTheme="minorHAnsi" w:cstheme="minorBidi"/>
          <w:color w:val="000000"/>
          <w:spacing w:val="6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38</w:t>
      </w:r>
      <w:r>
        <w:rPr>
          <w:rFonts w:ascii="SimSun" w:eastAsiaTheme="minorEastAsia" w:hAnsiTheme="minorHAnsi" w:cstheme="minorBidi"/>
          <w:color w:val="000000"/>
          <w:spacing w:val="104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p>
    <w:p>
      <w:pPr>
        <w:framePr w:w="1562" w:x="6472" w:y="11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44,005.7</w:t>
      </w:r>
      <w:r>
        <w:rPr>
          <w:rFonts w:ascii="SimSun" w:eastAsiaTheme="minorEastAsia" w:hAnsiTheme="minorHAnsi" w:cstheme="minorBidi"/>
          <w:color w:val="000000"/>
          <w:spacing w:val="27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p>
    <w:p>
      <w:pPr>
        <w:framePr w:w="1562" w:x="6472" w:y="11314"/>
        <w:widowControl w:val="0"/>
        <w:autoSpaceDE w:val="0"/>
        <w:autoSpaceDN w:val="0"/>
        <w:spacing w:before="60" w:line="211" w:lineRule="exact"/>
        <w:ind w:left="73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w:t>
      </w:r>
    </w:p>
    <w:p>
      <w:pPr>
        <w:framePr w:w="2326" w:x="8464" w:y="11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6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930.44</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463.38</w:t>
      </w:r>
      <w:r>
        <w:rPr>
          <w:rFonts w:ascii="SimSun" w:eastAsiaTheme="minorEastAsia" w:hAnsiTheme="minorHAnsi" w:cstheme="minorBidi"/>
          <w:color w:val="000000"/>
          <w:spacing w:val="7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p>
    <w:p>
      <w:pPr>
        <w:framePr w:w="346" w:x="11090" w:y="113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662" w:x="1109" w:y="114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780" w:x="1798" w:y="1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本期计提在建工程减值准备情况</w:t>
      </w:r>
    </w:p>
    <w:p>
      <w:pPr>
        <w:framePr w:w="1817" w:x="1798" w:y="125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129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13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139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工程物资</w:t>
      </w:r>
    </w:p>
    <w:p>
      <w:pPr>
        <w:framePr w:w="1817" w:x="1798" w:y="14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4560"/>
        <w:widowControl w:val="0"/>
        <w:autoSpaceDE w:val="0"/>
        <w:autoSpaceDN w:val="0"/>
        <w:spacing w:before="72" w:line="211" w:lineRule="exact"/>
        <w:ind w:left="3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4607" w:y="148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1798" w:y="14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3360" w:y="15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874" w:x="4767" w:y="15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减值准</w:t>
      </w:r>
    </w:p>
    <w:p>
      <w:pPr>
        <w:framePr w:w="1085" w:x="5907" w:y="15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499" w:y="15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662" w:x="8857" w:y="15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w:t>
      </w:r>
    </w:p>
    <w:p>
      <w:pPr>
        <w:framePr w:w="1085" w:x="9796" w:y="15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37" type="#_x0000_t75" style="width:445.6pt;height:2.7pt;margin-top:53.65pt;margin-left:87.45pt;mso-position-horizontal-relative:page;mso-position-vertical-relative:page;position:absolute;z-index:-251329536">
            <v:imagedata r:id="rId175" o:title=""/>
          </v:shape>
        </w:pict>
      </w:r>
      <w:r>
        <w:rPr>
          <w:noProof/>
        </w:rPr>
        <w:pict>
          <v:shape id="_x0000_s1238" type="#_x0000_t75" style="width:548.45pt;height:211.35pt;margin-top:74.3pt;margin-left:24.8pt;mso-position-horizontal-relative:page;mso-position-vertical-relative:page;position:absolute;z-index:-251371520">
            <v:imagedata r:id="rId176" o:title=""/>
          </v:shape>
        </w:pict>
      </w:r>
      <w:r>
        <w:rPr>
          <w:noProof/>
        </w:rPr>
        <w:pict>
          <v:shape id="_x0000_s1239" type="#_x0000_t75" style="width:555.4pt;height:195.2pt;margin-top:397.75pt;margin-left:24.8pt;mso-position-horizontal-relative:page;mso-position-vertical-relative:page;position:absolute;z-index:-251442176">
            <v:imagedata r:id="rId177" o:title=""/>
          </v:shape>
        </w:pict>
      </w:r>
      <w:r>
        <w:rPr>
          <w:noProof/>
        </w:rPr>
        <w:pict>
          <v:shape id="_x0000_s1240" type="#_x0000_t75" style="width:498.65pt;height:30.7pt;margin-top:739.2pt;margin-left:53.25pt;mso-position-horizontal-relative:page;mso-position-vertical-relative:page;position:absolute;z-index:-251551744">
            <v:imagedata r:id="rId178" o:title=""/>
          </v:shape>
        </w:pict>
      </w:r>
    </w:p>
    <w:p>
      <w:pPr>
        <w:spacing w:line="0" w:lineRule="atLeast"/>
        <w:rPr>
          <w:rFonts w:ascii="Arial" w:eastAsiaTheme="minorEastAsia" w:hAnsiTheme="minorHAnsi" w:cstheme="minorBidi"/>
          <w:color w:val="FF0000"/>
          <w:sz w:val="2"/>
          <w:szCs w:val="22"/>
          <w:lang w:val="en-US" w:eastAsia="en-US" w:bidi="ar-SA"/>
        </w:rPr>
      </w:pPr>
      <w:bookmarkStart w:id="105" w:name="br1_104"/>
      <w:bookmarkEnd w:id="10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51" w:x="4976"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w:t>
      </w:r>
    </w:p>
    <w:p>
      <w:pPr>
        <w:framePr w:w="662" w:x="8857"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1718" w:x="1200"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工程用材料</w:t>
      </w:r>
    </w:p>
    <w:p>
      <w:pPr>
        <w:framePr w:w="1718" w:x="1200"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尚未安装的设备</w:t>
      </w:r>
    </w:p>
    <w:p>
      <w:pPr>
        <w:framePr w:w="1718" w:x="1200" w:y="1829"/>
        <w:widowControl w:val="0"/>
        <w:autoSpaceDE w:val="0"/>
        <w:autoSpaceDN w:val="0"/>
        <w:spacing w:before="72" w:line="211" w:lineRule="exact"/>
        <w:ind w:left="59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3152" w:y="182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8,932,198.57</w:t>
      </w:r>
    </w:p>
    <w:p>
      <w:pPr>
        <w:framePr w:w="1613" w:x="3152"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11,748,411.17</w:t>
      </w:r>
    </w:p>
    <w:p>
      <w:pPr>
        <w:framePr w:w="1613" w:x="3152"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20,680,609.74</w:t>
      </w:r>
    </w:p>
    <w:p>
      <w:pPr>
        <w:framePr w:w="3200" w:x="5646" w:y="182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8,932,198.57</w:t>
      </w:r>
      <w:r>
        <w:rPr>
          <w:rFonts w:ascii="SimSun" w:eastAsiaTheme="minorEastAsia" w:hAnsiTheme="minorHAnsi" w:cstheme="minorBidi"/>
          <w:color w:val="000000"/>
          <w:spacing w:val="2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8,818,096.75</w:t>
      </w:r>
    </w:p>
    <w:p>
      <w:pPr>
        <w:framePr w:w="3200" w:x="5646"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11,748,411.17</w:t>
      </w:r>
      <w:r>
        <w:rPr>
          <w:rFonts w:ascii="SimSun" w:eastAsiaTheme="minorEastAsia" w:hAnsiTheme="minorHAnsi" w:cstheme="minorBidi"/>
          <w:color w:val="000000"/>
          <w:spacing w:val="2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9,349,934.38</w:t>
      </w:r>
    </w:p>
    <w:p>
      <w:pPr>
        <w:framePr w:w="3200" w:x="5646"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20,680,609.74</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18,168,031.13</w:t>
      </w:r>
    </w:p>
    <w:p>
      <w:pPr>
        <w:framePr w:w="1613" w:x="9535" w:y="182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8,818,096.75</w:t>
      </w:r>
    </w:p>
    <w:p>
      <w:pPr>
        <w:framePr w:w="1613" w:x="9535" w:y="1829"/>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9,349,934.38</w:t>
      </w:r>
    </w:p>
    <w:p>
      <w:pPr>
        <w:framePr w:w="1613" w:x="9535"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18,168,031.13</w:t>
      </w:r>
    </w:p>
    <w:p>
      <w:pPr>
        <w:framePr w:w="1296" w:x="1798"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29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222" w:x="1798" w:y="36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生产性生物资产</w:t>
      </w:r>
    </w:p>
    <w:p>
      <w:pPr>
        <w:framePr w:w="4217" w:x="1798" w:y="41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采用成本计量模式的生产性生物资产</w:t>
      </w:r>
    </w:p>
    <w:p>
      <w:pPr>
        <w:framePr w:w="1718" w:x="1798" w:y="46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□适用√不适用</w:t>
      </w:r>
    </w:p>
    <w:p>
      <w:pPr>
        <w:framePr w:w="4639" w:x="1798" w:y="49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采用公允价值计量模式的生产性生物资产</w:t>
      </w:r>
    </w:p>
    <w:p>
      <w:pPr>
        <w:framePr w:w="1817" w:x="1798" w:y="54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54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817" w:x="1798" w:y="61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67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油气资产</w:t>
      </w:r>
    </w:p>
    <w:p>
      <w:pPr>
        <w:framePr w:w="1817" w:x="1798" w:y="71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00" w:x="1798" w:y="77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使用权资产</w:t>
      </w:r>
    </w:p>
    <w:p>
      <w:pPr>
        <w:framePr w:w="1817" w:x="1798" w:y="82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88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无形资产</w:t>
      </w:r>
    </w:p>
    <w:p>
      <w:pPr>
        <w:framePr w:w="2110" w:x="1798" w:y="92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无形资产情况</w:t>
      </w:r>
    </w:p>
    <w:p>
      <w:pPr>
        <w:framePr w:w="2110" w:x="1798" w:y="9233"/>
        <w:widowControl w:val="0"/>
        <w:autoSpaceDE w:val="0"/>
        <w:autoSpaceDN w:val="0"/>
        <w:spacing w:before="1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451" w:x="5807" w:y="101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w:t>
      </w:r>
    </w:p>
    <w:p>
      <w:pPr>
        <w:framePr w:w="451" w:x="5807" w:y="1016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w:t>
      </w:r>
    </w:p>
    <w:p>
      <w:pPr>
        <w:framePr w:w="662" w:x="5065" w:y="105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专利</w:t>
      </w:r>
    </w:p>
    <w:p>
      <w:pPr>
        <w:framePr w:w="662" w:x="5065" w:y="10570"/>
        <w:widowControl w:val="0"/>
        <w:autoSpaceDE w:val="0"/>
        <w:autoSpaceDN w:val="0"/>
        <w:spacing w:before="60"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w:t>
      </w:r>
    </w:p>
    <w:p>
      <w:pPr>
        <w:framePr w:w="662" w:x="1800"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3543"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土地使用权</w:t>
      </w:r>
    </w:p>
    <w:p>
      <w:pPr>
        <w:framePr w:w="451" w:x="5807"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w:t>
      </w:r>
    </w:p>
    <w:p>
      <w:pPr>
        <w:framePr w:w="451" w:x="5807" w:y="1070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w:t>
      </w:r>
    </w:p>
    <w:p>
      <w:pPr>
        <w:framePr w:w="451" w:x="5807" w:y="1070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术</w:t>
      </w:r>
    </w:p>
    <w:p>
      <w:pPr>
        <w:framePr w:w="1296" w:x="6450"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软件使用权</w:t>
      </w:r>
    </w:p>
    <w:p>
      <w:pPr>
        <w:framePr w:w="1296" w:x="8010"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技术使用权</w:t>
      </w:r>
    </w:p>
    <w:p>
      <w:pPr>
        <w:framePr w:w="662" w:x="9952" w:y="107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912" w:y="115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一、账面原值</w:t>
      </w:r>
    </w:p>
    <w:p>
      <w:pPr>
        <w:framePr w:w="1296" w:x="1335" w:y="11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3341" w:y="118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124,094,042.78</w:t>
      </w:r>
    </w:p>
    <w:p>
      <w:pPr>
        <w:framePr w:w="4758" w:x="6387" w:y="118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1,288,958.51</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1,978,698.11</w:t>
      </w:r>
      <w:r>
        <w:rPr>
          <w:rFonts w:ascii="SimSun" w:eastAsiaTheme="minorEastAsia" w:hAnsiTheme="minorHAnsi" w:cstheme="minorBidi"/>
          <w:color w:val="000000"/>
          <w:spacing w:val="1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127,361,699.40</w:t>
      </w:r>
    </w:p>
    <w:p>
      <w:pPr>
        <w:framePr w:w="1718" w:x="1332" w:y="121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979" w:x="1544" w:y="124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购置</w:t>
      </w:r>
    </w:p>
    <w:p>
      <w:pPr>
        <w:framePr w:w="1807" w:x="1544" w:y="128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内部研发</w:t>
      </w:r>
    </w:p>
    <w:p>
      <w:pPr>
        <w:framePr w:w="1807" w:x="1544" w:y="12846"/>
        <w:widowControl w:val="0"/>
        <w:autoSpaceDE w:val="0"/>
        <w:autoSpaceDN w:val="0"/>
        <w:spacing w:before="206"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w:t>
      </w:r>
      <w:r>
        <w:rPr>
          <w:rFonts w:ascii="SimSun" w:hAnsi="SimSun" w:eastAsiaTheme="minorEastAsia" w:cs="SimSun"/>
          <w:color w:val="000000"/>
          <w:sz w:val="21"/>
          <w:szCs w:val="22"/>
          <w:lang w:val="en-US" w:eastAsia="en-US" w:bidi="ar-SA"/>
        </w:rPr>
        <w:t>企</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业</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合</w:t>
      </w:r>
      <w:r>
        <w:rPr>
          <w:rFonts w:eastAsiaTheme="minorEastAsia" w:hAnsiTheme="minorHAnsi" w:cstheme="minorBidi"/>
          <w:color w:val="000000"/>
          <w:spacing w:val="-11"/>
          <w:sz w:val="21"/>
          <w:szCs w:val="22"/>
          <w:lang w:val="en-US" w:eastAsia="en-US" w:bidi="ar-SA"/>
        </w:rPr>
        <w:t xml:space="preserve"> </w:t>
      </w:r>
      <w:r>
        <w:rPr>
          <w:rFonts w:ascii="SimSun" w:hAnsi="SimSun" w:eastAsiaTheme="minorEastAsia" w:cs="SimSun"/>
          <w:color w:val="000000"/>
          <w:sz w:val="21"/>
          <w:szCs w:val="22"/>
          <w:lang w:val="en-US" w:eastAsia="en-US" w:bidi="ar-SA"/>
        </w:rPr>
        <w:t>并</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增</w:t>
      </w:r>
    </w:p>
    <w:p>
      <w:pPr>
        <w:framePr w:w="451" w:x="912" w:y="135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w:t>
      </w:r>
    </w:p>
    <w:p>
      <w:pPr>
        <w:framePr w:w="1718" w:x="1335" w:y="138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718" w:x="1335" w:y="13825"/>
        <w:widowControl w:val="0"/>
        <w:autoSpaceDE w:val="0"/>
        <w:autoSpaceDN w:val="0"/>
        <w:spacing w:before="8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处置</w:t>
      </w:r>
    </w:p>
    <w:p>
      <w:pPr>
        <w:framePr w:w="1296" w:x="1229" w:y="144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718" w:x="3341" w:y="144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124,094,042.78</w:t>
      </w:r>
    </w:p>
    <w:p>
      <w:pPr>
        <w:framePr w:w="1718" w:x="3341" w:y="14406"/>
        <w:widowControl w:val="0"/>
        <w:autoSpaceDE w:val="0"/>
        <w:autoSpaceDN w:val="0"/>
        <w:spacing w:before="377"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6,386,357.00</w:t>
      </w:r>
    </w:p>
    <w:p>
      <w:pPr>
        <w:framePr w:w="4758" w:x="6387" w:y="144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1,288,958.51</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1,978,698.11</w:t>
      </w:r>
      <w:r>
        <w:rPr>
          <w:rFonts w:ascii="SimSun" w:eastAsiaTheme="minorEastAsia" w:hAnsiTheme="minorHAnsi" w:cstheme="minorBidi"/>
          <w:color w:val="000000"/>
          <w:spacing w:val="1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127,361,699.40</w:t>
      </w:r>
    </w:p>
    <w:p>
      <w:pPr>
        <w:framePr w:w="4758" w:x="6387" w:y="14406"/>
        <w:widowControl w:val="0"/>
        <w:autoSpaceDE w:val="0"/>
        <w:autoSpaceDN w:val="0"/>
        <w:spacing w:before="3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1,247,458.89</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1,033,574.18</w:t>
      </w:r>
      <w:r>
        <w:rPr>
          <w:rFonts w:ascii="SimSun" w:eastAsiaTheme="minorEastAsia" w:hAnsiTheme="minorHAnsi" w:cstheme="minorBidi"/>
          <w:color w:val="000000"/>
          <w:spacing w:val="3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8,667,390.07</w:t>
      </w:r>
    </w:p>
    <w:p>
      <w:pPr>
        <w:framePr w:w="1507" w:x="912" w:y="147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二、累计摊销</w:t>
      </w:r>
    </w:p>
    <w:p>
      <w:pPr>
        <w:framePr w:w="1296" w:x="1332" w:y="150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1" type="#_x0000_t75" style="width:445.6pt;height:2.7pt;margin-top:53.65pt;margin-left:87.45pt;mso-position-horizontal-relative:page;mso-position-vertical-relative:page;position:absolute;z-index:-251370496">
            <v:imagedata r:id="rId179" o:title=""/>
          </v:shape>
        </w:pict>
      </w:r>
      <w:r>
        <w:rPr>
          <w:noProof/>
        </w:rPr>
        <w:pict>
          <v:shape id="_x0000_s1242" type="#_x0000_t75" style="width:498.65pt;height:59pt;margin-top:74.3pt;margin-left:53.25pt;mso-position-horizontal-relative:page;mso-position-vertical-relative:page;position:absolute;z-index:-251441152">
            <v:imagedata r:id="rId180" o:title=""/>
          </v:shape>
        </w:pict>
      </w:r>
      <w:r>
        <w:rPr>
          <w:noProof/>
        </w:rPr>
        <w:pict>
          <v:shape id="_x0000_s1243" type="#_x0000_t75" style="width:512.8pt;height:258.95pt;margin-top:505.05pt;margin-left:38.95pt;mso-position-horizontal-relative:page;mso-position-vertical-relative:page;position:absolute;z-index:-251550720">
            <v:imagedata r:id="rId181" o:title=""/>
          </v:shape>
        </w:pict>
      </w:r>
    </w:p>
    <w:p>
      <w:pPr>
        <w:spacing w:line="0" w:lineRule="atLeast"/>
        <w:rPr>
          <w:rFonts w:ascii="Arial" w:eastAsiaTheme="minorEastAsia" w:hAnsiTheme="minorHAnsi" w:cstheme="minorBidi"/>
          <w:color w:val="FF0000"/>
          <w:sz w:val="2"/>
          <w:szCs w:val="22"/>
          <w:lang w:val="en-US" w:eastAsia="en-US" w:bidi="ar-SA"/>
        </w:rPr>
      </w:pPr>
      <w:bookmarkStart w:id="106" w:name="br1_105"/>
      <w:bookmarkEnd w:id="10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718" w:x="1332"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332" w:y="1553"/>
        <w:widowControl w:val="0"/>
        <w:autoSpaceDE w:val="0"/>
        <w:autoSpaceDN w:val="0"/>
        <w:spacing w:before="84"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507" w:x="355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1,243,960.98</w:t>
      </w:r>
    </w:p>
    <w:p>
      <w:pPr>
        <w:framePr w:w="1507" w:x="3552" w:y="1547"/>
        <w:widowControl w:val="0"/>
        <w:autoSpaceDE w:val="0"/>
        <w:autoSpaceDN w:val="0"/>
        <w:spacing w:before="8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1,243,960.98</w:t>
      </w:r>
    </w:p>
    <w:p>
      <w:pPr>
        <w:framePr w:w="1085" w:x="680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9,500.04</w:t>
      </w:r>
    </w:p>
    <w:p>
      <w:pPr>
        <w:framePr w:w="1085" w:x="6808" w:y="1547"/>
        <w:widowControl w:val="0"/>
        <w:autoSpaceDE w:val="0"/>
        <w:autoSpaceDN w:val="0"/>
        <w:spacing w:before="8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9,500.04</w:t>
      </w:r>
    </w:p>
    <w:p>
      <w:pPr>
        <w:framePr w:w="1190" w:x="8262"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91,125.78</w:t>
      </w:r>
    </w:p>
    <w:p>
      <w:pPr>
        <w:framePr w:w="1190" w:x="8262" w:y="1547"/>
        <w:widowControl w:val="0"/>
        <w:autoSpaceDE w:val="0"/>
        <w:autoSpaceDN w:val="0"/>
        <w:spacing w:before="89"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91,125.78</w:t>
      </w:r>
    </w:p>
    <w:p>
      <w:pPr>
        <w:framePr w:w="1507" w:x="9643"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1,344,586.80</w:t>
      </w:r>
    </w:p>
    <w:p>
      <w:pPr>
        <w:framePr w:w="1507" w:x="9643" w:y="1547"/>
        <w:widowControl w:val="0"/>
        <w:autoSpaceDE w:val="0"/>
        <w:autoSpaceDN w:val="0"/>
        <w:spacing w:before="8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1,344,586.80</w:t>
      </w:r>
    </w:p>
    <w:p>
      <w:pPr>
        <w:framePr w:w="1718" w:x="1332"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718" w:x="1332" w:y="2140"/>
        <w:widowControl w:val="0"/>
        <w:autoSpaceDE w:val="0"/>
        <w:autoSpaceDN w:val="0"/>
        <w:spacing w:before="84" w:line="211" w:lineRule="exact"/>
        <w:ind w:left="317"/>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处置</w:t>
      </w:r>
    </w:p>
    <w:p>
      <w:pPr>
        <w:framePr w:w="1296" w:x="1332" w:y="27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3552" w:y="27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7,630,317.98</w:t>
      </w:r>
    </w:p>
    <w:p>
      <w:pPr>
        <w:framePr w:w="4758" w:x="6387" w:y="27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1,256,958.93</w:t>
      </w:r>
      <w:r>
        <w:rPr>
          <w:rFonts w:ascii="SimSun"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1,124,699.96</w:t>
      </w:r>
      <w:r>
        <w:rPr>
          <w:rFonts w:ascii="SimSun" w:eastAsiaTheme="minorEastAsia" w:hAnsiTheme="minorHAnsi" w:cstheme="minorBidi"/>
          <w:color w:val="000000"/>
          <w:spacing w:val="22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10,011,976.87</w:t>
      </w:r>
    </w:p>
    <w:p>
      <w:pPr>
        <w:framePr w:w="1507" w:x="912" w:y="3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三、减值准备</w:t>
      </w:r>
    </w:p>
    <w:p>
      <w:pPr>
        <w:framePr w:w="1718" w:x="1332" w:y="3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期初余额</w:t>
      </w:r>
    </w:p>
    <w:p>
      <w:pPr>
        <w:framePr w:w="1718" w:x="1332" w:y="331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本期增加金额</w:t>
      </w:r>
    </w:p>
    <w:p>
      <w:pPr>
        <w:framePr w:w="1718" w:x="1332" w:y="3317"/>
        <w:widowControl w:val="0"/>
        <w:autoSpaceDE w:val="0"/>
        <w:autoSpaceDN w:val="0"/>
        <w:spacing w:before="8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）计提</w:t>
      </w:r>
    </w:p>
    <w:p>
      <w:pPr>
        <w:framePr w:w="1718" w:x="1332" w:y="4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本期减少金额</w:t>
      </w:r>
    </w:p>
    <w:p>
      <w:pPr>
        <w:framePr w:w="1718" w:x="1332" w:y="4200"/>
        <w:widowControl w:val="0"/>
        <w:autoSpaceDE w:val="0"/>
        <w:autoSpaceDN w:val="0"/>
        <w:spacing w:before="82" w:line="211" w:lineRule="exact"/>
        <w:ind w:left="211"/>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处置</w:t>
      </w:r>
    </w:p>
    <w:p>
      <w:pPr>
        <w:framePr w:w="1296" w:x="1332" w:y="47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期末余额</w:t>
      </w:r>
    </w:p>
    <w:p>
      <w:pPr>
        <w:framePr w:w="1507" w:x="912" w:y="50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四、账面价值</w:t>
      </w:r>
    </w:p>
    <w:p>
      <w:pPr>
        <w:framePr w:w="1718" w:x="1335" w:y="5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期末账面价值</w:t>
      </w:r>
    </w:p>
    <w:p>
      <w:pPr>
        <w:framePr w:w="1718" w:x="1335" w:y="5376"/>
        <w:widowControl w:val="0"/>
        <w:autoSpaceDE w:val="0"/>
        <w:autoSpaceDN w:val="0"/>
        <w:spacing w:before="8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期初账面价值</w:t>
      </w:r>
    </w:p>
    <w:p>
      <w:pPr>
        <w:framePr w:w="1718" w:x="3341" w:y="5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116,463,724.80</w:t>
      </w:r>
    </w:p>
    <w:p>
      <w:pPr>
        <w:framePr w:w="1718" w:x="3341" w:y="536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117,707,685.78</w:t>
      </w:r>
    </w:p>
    <w:p>
      <w:pPr>
        <w:framePr w:w="1190" w:x="6702" w:y="5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31,999.58</w:t>
      </w:r>
    </w:p>
    <w:p>
      <w:pPr>
        <w:framePr w:w="1190" w:x="6702" w:y="536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41,499.62</w:t>
      </w:r>
    </w:p>
    <w:p>
      <w:pPr>
        <w:framePr w:w="2989" w:x="8157" w:y="53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853,998.15</w:t>
      </w:r>
      <w:r>
        <w:rPr>
          <w:rFonts w:ascii="SimSun" w:eastAsiaTheme="minorEastAsia" w:hAnsiTheme="minorHAnsi" w:cstheme="minorBidi"/>
          <w:color w:val="000000"/>
          <w:spacing w:val="1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117,349,722.53</w:t>
      </w:r>
    </w:p>
    <w:p>
      <w:pPr>
        <w:framePr w:w="2989" w:x="8157" w:y="536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945,123.93</w:t>
      </w:r>
      <w:r>
        <w:rPr>
          <w:rFonts w:ascii="SimSun" w:eastAsiaTheme="minorEastAsia" w:hAnsiTheme="minorHAnsi" w:cstheme="minorBidi"/>
          <w:color w:val="000000"/>
          <w:spacing w:val="1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118,694,309.33</w:t>
      </w:r>
    </w:p>
    <w:p>
      <w:pPr>
        <w:framePr w:w="9110" w:x="1798" w:y="6231"/>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潍坊先达与中信银行股份有限公司济南分行分别签订本金为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541.5</w:t>
      </w:r>
      <w:r>
        <w:rPr>
          <w:rFonts w:ascii="SimSun" w:hAnsi="SimSun" w:eastAsiaTheme="minorEastAsia" w:cs="SimSun"/>
          <w:color w:val="000000"/>
          <w:sz w:val="21"/>
          <w:szCs w:val="22"/>
          <w:lang w:val="en-US" w:eastAsia="en-US" w:bidi="ar-SA"/>
        </w:rPr>
        <w:t>万元人民币、</w:t>
      </w:r>
      <w:r>
        <w:rPr>
          <w:rFonts w:ascii="SimSun" w:eastAsiaTheme="minorEastAsia" w:hAnsiTheme="minorHAnsi" w:cstheme="minorBidi"/>
          <w:color w:val="000000"/>
          <w:sz w:val="21"/>
          <w:szCs w:val="22"/>
          <w:lang w:val="en-US" w:eastAsia="en-US" w:bidi="ar-SA"/>
        </w:rPr>
        <w:t>4500</w:t>
      </w:r>
      <w:r>
        <w:rPr>
          <w:rFonts w:ascii="SimSun" w:hAnsi="SimSun" w:eastAsiaTheme="minorEastAsia" w:cs="SimSun"/>
          <w:color w:val="000000"/>
          <w:spacing w:val="-1"/>
          <w:sz w:val="21"/>
          <w:szCs w:val="22"/>
          <w:lang w:val="en-US" w:eastAsia="en-US" w:bidi="ar-SA"/>
        </w:rPr>
        <w:t>万元人</w:t>
      </w:r>
    </w:p>
    <w:p>
      <w:pPr>
        <w:framePr w:w="9110" w:x="1798" w:y="62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民币的最高额抵押合同，潍坊先达以其财产为主合同债务人履行债务提供最高额抵押担保，截止</w:t>
      </w:r>
    </w:p>
    <w:p>
      <w:pPr>
        <w:framePr w:w="9110" w:x="1798" w:y="6231"/>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日，潍坊先达抵押土地使用权的账面价值为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426.53</w:t>
      </w:r>
      <w:r>
        <w:rPr>
          <w:rFonts w:ascii="SimSun" w:hAnsi="SimSun" w:eastAsiaTheme="minorEastAsia" w:cs="SimSun"/>
          <w:color w:val="000000"/>
          <w:sz w:val="21"/>
          <w:szCs w:val="22"/>
          <w:lang w:val="en-US" w:eastAsia="en-US" w:bidi="ar-SA"/>
        </w:rPr>
        <w:t>万元。</w:t>
      </w:r>
    </w:p>
    <w:p>
      <w:pPr>
        <w:framePr w:w="9064" w:x="1798" w:y="745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辽宁先达与中信银行葫芦岛分行签订本金为</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万元人民币的最高额抵押合同，辽宁先</w:t>
      </w:r>
    </w:p>
    <w:p>
      <w:pPr>
        <w:framePr w:w="9064" w:x="1798" w:y="745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达以其拥有的国有土地使用权及在建工程为主合同债务人履行债务提供最高额抵押担保，截止</w:t>
      </w:r>
    </w:p>
    <w:p>
      <w:pPr>
        <w:framePr w:w="9064" w:x="1798" w:y="745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日，辽宁先达抵押固定资产的账面价值为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10,947.06</w:t>
      </w:r>
      <w:r>
        <w:rPr>
          <w:rFonts w:ascii="SimSun" w:hAnsi="SimSun" w:eastAsiaTheme="minorEastAsia" w:cs="SimSun"/>
          <w:color w:val="000000"/>
          <w:sz w:val="21"/>
          <w:szCs w:val="22"/>
          <w:lang w:val="en-US" w:eastAsia="en-US" w:bidi="ar-SA"/>
        </w:rPr>
        <w:t>万元。</w:t>
      </w:r>
    </w:p>
    <w:p>
      <w:pPr>
        <w:framePr w:w="6704" w:x="2218" w:y="86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本期末通过公司内部研发形成的无形资产占无形资产余额的比例</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p>
    <w:p>
      <w:pPr>
        <w:framePr w:w="4006" w:x="1798" w:y="91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未办妥产权证书的土地使用权情况</w:t>
      </w:r>
    </w:p>
    <w:p>
      <w:pPr>
        <w:framePr w:w="1817" w:x="1798" w:y="96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961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02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0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开发支出</w:t>
      </w:r>
    </w:p>
    <w:p>
      <w:pPr>
        <w:framePr w:w="1817" w:x="1798" w:y="11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166" w:x="1798" w:y="118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商誉</w:t>
      </w:r>
    </w:p>
    <w:p>
      <w:pPr>
        <w:framePr w:w="2095" w:x="1798" w:y="123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商誉账面原值</w:t>
      </w:r>
    </w:p>
    <w:p>
      <w:pPr>
        <w:framePr w:w="1817" w:x="1798" w:y="127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95" w:x="1798" w:y="131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商誉减值准备</w:t>
      </w:r>
    </w:p>
    <w:p>
      <w:pPr>
        <w:framePr w:w="1817" w:x="1798" w:y="1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25" w:x="1798" w:y="139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商誉所在资产组或资产组组合的相关信息</w:t>
      </w:r>
    </w:p>
    <w:p>
      <w:pPr>
        <w:framePr w:w="1817" w:x="1798" w:y="143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9"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4" type="#_x0000_t75" style="width:445.6pt;height:2.7pt;margin-top:53.65pt;margin-left:87.45pt;mso-position-horizontal-relative:page;mso-position-vertical-relative:page;position:absolute;z-index:-251440128">
            <v:imagedata r:id="rId182" o:title=""/>
          </v:shape>
        </w:pict>
      </w:r>
      <w:r>
        <w:rPr>
          <w:noProof/>
        </w:rPr>
        <w:pict>
          <v:shape id="_x0000_s1245" type="#_x0000_t75" style="width:512.8pt;height:223.1pt;margin-top:74.3pt;margin-left:38.95pt;mso-position-horizontal-relative:page;mso-position-vertical-relative:page;position:absolute;z-index:-251549696">
            <v:imagedata r:id="rId183" o:title=""/>
          </v:shape>
        </w:pict>
      </w:r>
    </w:p>
    <w:p>
      <w:pPr>
        <w:spacing w:line="0" w:lineRule="atLeast"/>
        <w:rPr>
          <w:rFonts w:ascii="Arial" w:eastAsiaTheme="minorEastAsia" w:hAnsiTheme="minorHAnsi" w:cstheme="minorBidi"/>
          <w:color w:val="FF0000"/>
          <w:sz w:val="2"/>
          <w:szCs w:val="22"/>
          <w:lang w:val="en-US" w:eastAsia="en-US" w:bidi="ar-SA"/>
        </w:rPr>
      </w:pPr>
      <w:bookmarkStart w:id="107" w:name="br1_106"/>
      <w:bookmarkEnd w:id="10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7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2"/>
          <w:sz w:val="21"/>
          <w:szCs w:val="22"/>
          <w:lang w:val="en-US" w:eastAsia="en-US" w:bidi="ar-SA"/>
        </w:rPr>
        <w:t>说明商誉减值测试过程、关键参数（例如预计未来现金流量现值时的预测期增长率、稳定</w:t>
      </w:r>
    </w:p>
    <w:p>
      <w:pPr>
        <w:framePr w:w="7421" w:x="2364" w:y="1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期增长率、利润率、折现率、预测期等，如适用）及商誉减值损失的确认方法</w:t>
      </w:r>
    </w:p>
    <w:p>
      <w:pPr>
        <w:framePr w:w="1817" w:x="1798" w:y="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07" w:x="1798" w:y="3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商誉减值测试的影响</w:t>
      </w:r>
    </w:p>
    <w:p>
      <w:pPr>
        <w:framePr w:w="1817" w:x="1798" w:y="3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4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43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4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长期待摊费用</w:t>
      </w:r>
    </w:p>
    <w:p>
      <w:pPr>
        <w:framePr w:w="1817" w:x="1798" w:y="53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910" w:x="1798" w:y="59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递延所得税资产</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递延所得税负债</w:t>
      </w:r>
    </w:p>
    <w:p>
      <w:pPr>
        <w:framePr w:w="3910" w:x="1798" w:y="5983"/>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未经抵销的递延所得税资产</w:t>
      </w:r>
    </w:p>
    <w:p>
      <w:pPr>
        <w:framePr w:w="1817" w:x="1798" w:y="6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5363" w:y="72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114" w:x="7633" w:y="7208"/>
        <w:widowControl w:val="0"/>
        <w:autoSpaceDE w:val="0"/>
        <w:autoSpaceDN w:val="0"/>
        <w:spacing w:line="211" w:lineRule="exact"/>
        <w:ind w:left="103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2114" w:x="7633" w:y="7208"/>
        <w:widowControl w:val="0"/>
        <w:autoSpaceDE w:val="0"/>
        <w:autoSpaceDN w:val="0"/>
        <w:spacing w:before="7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可抵扣暂时性</w:t>
      </w:r>
    </w:p>
    <w:p>
      <w:pPr>
        <w:framePr w:w="2114" w:x="7633" w:y="7208"/>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p>
    <w:p>
      <w:pPr>
        <w:framePr w:w="662" w:x="2700" w:y="74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4328" w:y="7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可抵扣暂时性</w:t>
      </w:r>
    </w:p>
    <w:p>
      <w:pPr>
        <w:framePr w:w="1507" w:x="4328" w:y="7498"/>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p>
    <w:p>
      <w:pPr>
        <w:framePr w:w="1296" w:x="6083" w:y="7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递延所得税</w:t>
      </w:r>
    </w:p>
    <w:p>
      <w:pPr>
        <w:framePr w:w="1296" w:x="6083" w:y="7498"/>
        <w:widowControl w:val="0"/>
        <w:autoSpaceDE w:val="0"/>
        <w:autoSpaceDN w:val="0"/>
        <w:spacing w:before="60"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1296" w:x="9393" w:y="7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递延所得税</w:t>
      </w:r>
    </w:p>
    <w:p>
      <w:pPr>
        <w:framePr w:w="662" w:x="9710" w:y="7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w:t>
      </w:r>
    </w:p>
    <w:p>
      <w:pPr>
        <w:framePr w:w="2141" w:x="1798" w:y="80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资产减值准备</w:t>
      </w:r>
    </w:p>
    <w:p>
      <w:pPr>
        <w:framePr w:w="2141" w:x="1798" w:y="805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内部交易未实现利润</w:t>
      </w:r>
    </w:p>
    <w:p>
      <w:pPr>
        <w:framePr w:w="2141" w:x="1798" w:y="805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可抵扣亏损</w:t>
      </w:r>
    </w:p>
    <w:p>
      <w:pPr>
        <w:framePr w:w="2141" w:x="1798" w:y="805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预计负债</w:t>
      </w:r>
    </w:p>
    <w:p>
      <w:pPr>
        <w:framePr w:w="6565" w:x="4311" w:y="80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35,660,684.12</w:t>
      </w:r>
      <w:r>
        <w:rPr>
          <w:rFonts w:ascii="SimSun" w:eastAsiaTheme="minorEastAsia" w:hAnsiTheme="minorHAnsi" w:cstheme="minorBidi"/>
          <w:color w:val="000000"/>
          <w:spacing w:val="27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9,266,630.41</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41,135,834.40</w:t>
      </w:r>
      <w:r>
        <w:rPr>
          <w:rFonts w:ascii="SimSun" w:eastAsiaTheme="minorEastAsia" w:hAnsiTheme="minorHAnsi" w:cstheme="minorBidi"/>
          <w:color w:val="000000"/>
          <w:spacing w:val="28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6,435,434.82</w:t>
      </w:r>
    </w:p>
    <w:p>
      <w:pPr>
        <w:framePr w:w="1507" w:x="7727" w:y="8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6,068,363.68</w:t>
      </w:r>
    </w:p>
    <w:p>
      <w:pPr>
        <w:framePr w:w="1507" w:x="7727" w:y="8348"/>
        <w:widowControl w:val="0"/>
        <w:autoSpaceDE w:val="0"/>
        <w:autoSpaceDN w:val="0"/>
        <w:spacing w:before="84"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162.12</w:t>
      </w:r>
    </w:p>
    <w:p>
      <w:pPr>
        <w:framePr w:w="1296" w:x="9583" w:y="83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978,527.49</w:t>
      </w:r>
    </w:p>
    <w:p>
      <w:pPr>
        <w:framePr w:w="1296" w:x="9583" w:y="8348"/>
        <w:widowControl w:val="0"/>
        <w:autoSpaceDE w:val="0"/>
        <w:autoSpaceDN w:val="0"/>
        <w:spacing w:before="84"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8.11</w:t>
      </w:r>
    </w:p>
    <w:p>
      <w:pPr>
        <w:framePr w:w="874" w:x="5046" w:y="8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162.12</w:t>
      </w:r>
    </w:p>
    <w:p>
      <w:pPr>
        <w:framePr w:w="662" w:x="6904" w:y="8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8.11</w:t>
      </w:r>
    </w:p>
    <w:p>
      <w:pPr>
        <w:framePr w:w="6565" w:x="4311" w:y="89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10,312,220.38</w:t>
      </w:r>
      <w:r>
        <w:rPr>
          <w:rFonts w:ascii="SimSun" w:eastAsiaTheme="minorEastAsia" w:hAnsiTheme="minorHAnsi" w:cstheme="minorBidi"/>
          <w:color w:val="000000"/>
          <w:spacing w:val="27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1,558,952.72</w:t>
      </w:r>
      <w:r>
        <w:rPr>
          <w:rFonts w:ascii="SimSun" w:eastAsiaTheme="minorEastAsia" w:hAnsiTheme="minorHAnsi" w:cstheme="minorBidi"/>
          <w:color w:val="000000"/>
          <w:spacing w:val="19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12,152,472.17</w:t>
      </w:r>
      <w:r>
        <w:rPr>
          <w:rFonts w:ascii="SimSun" w:eastAsiaTheme="minorEastAsia" w:hAnsiTheme="minorHAnsi" w:cstheme="minorBidi"/>
          <w:color w:val="000000"/>
          <w:spacing w:val="28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1,822,870.82</w:t>
      </w:r>
    </w:p>
    <w:p>
      <w:pPr>
        <w:framePr w:w="1085" w:x="1798" w:y="92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专项储备</w:t>
      </w:r>
    </w:p>
    <w:p>
      <w:pPr>
        <w:framePr w:w="1565" w:x="1798" w:y="95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w:t>
      </w:r>
    </w:p>
    <w:p>
      <w:pPr>
        <w:framePr w:w="1565" w:x="1798" w:y="9533"/>
        <w:widowControl w:val="0"/>
        <w:autoSpaceDE w:val="0"/>
        <w:autoSpaceDN w:val="0"/>
        <w:spacing w:before="84" w:line="211" w:lineRule="exact"/>
        <w:ind w:left="90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417" w:y="95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1296" w:x="6272" w:y="95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400,470.36</w:t>
      </w:r>
    </w:p>
    <w:p>
      <w:pPr>
        <w:framePr w:w="1507" w:x="7727" w:y="95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1296" w:x="9583" w:y="95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494,590.59</w:t>
      </w:r>
    </w:p>
    <w:p>
      <w:pPr>
        <w:framePr w:w="4837" w:x="4311" w:y="98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48,644,496.52</w:t>
      </w:r>
      <w:r>
        <w:rPr>
          <w:rFonts w:ascii="SimSun" w:eastAsiaTheme="minorEastAsia" w:hAnsiTheme="minorHAnsi" w:cstheme="minorBidi"/>
          <w:color w:val="000000"/>
          <w:spacing w:val="17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11,226,061.60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62,654,102.97</w:t>
      </w:r>
    </w:p>
    <w:p>
      <w:pPr>
        <w:framePr w:w="1507" w:x="9374" w:y="98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9,731,431.83</w:t>
      </w:r>
    </w:p>
    <w:p>
      <w:pPr>
        <w:framePr w:w="3358" w:x="1798" w:y="104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未经抵销的递延所得税负债</w:t>
      </w:r>
    </w:p>
    <w:p>
      <w:pPr>
        <w:framePr w:w="1817" w:x="1798" w:y="107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055"/>
        <w:widowControl w:val="0"/>
        <w:autoSpaceDE w:val="0"/>
        <w:autoSpaceDN w:val="0"/>
        <w:spacing w:before="77" w:line="211" w:lineRule="exact"/>
        <w:ind w:left="57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056" w:y="113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1798" w:y="11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5689" w:x="5168" w:y="11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应纳税暂时性</w:t>
      </w:r>
      <w:r>
        <w:rPr>
          <w:rFonts w:eastAsiaTheme="minorEastAsia" w:hAnsiTheme="minorHAnsi" w:cstheme="minorBidi"/>
          <w:color w:val="000000"/>
          <w:spacing w:val="244"/>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w:t>
      </w:r>
      <w:r>
        <w:rPr>
          <w:rFonts w:eastAsiaTheme="minorEastAsia" w:hAnsiTheme="minorHAnsi" w:cstheme="minorBidi"/>
          <w:color w:val="000000"/>
          <w:spacing w:val="171"/>
          <w:sz w:val="21"/>
          <w:szCs w:val="22"/>
          <w:lang w:val="en-US" w:eastAsia="en-US" w:bidi="ar-SA"/>
        </w:rPr>
        <w:t xml:space="preserve"> </w:t>
      </w:r>
      <w:r>
        <w:rPr>
          <w:rFonts w:ascii="SimSun" w:hAnsi="SimSun" w:eastAsiaTheme="minorEastAsia" w:cs="SimSun"/>
          <w:color w:val="000000"/>
          <w:sz w:val="21"/>
          <w:szCs w:val="22"/>
          <w:lang w:val="en-US" w:eastAsia="en-US" w:bidi="ar-SA"/>
        </w:rPr>
        <w:t>应纳税暂时性</w:t>
      </w:r>
      <w:r>
        <w:rPr>
          <w:rFonts w:eastAsiaTheme="minorEastAsia" w:hAnsiTheme="minorHAnsi" w:cstheme="minorBidi"/>
          <w:color w:val="000000"/>
          <w:spacing w:val="2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递延所得税</w:t>
      </w:r>
    </w:p>
    <w:p>
      <w:pPr>
        <w:framePr w:w="5689" w:x="5168" w:y="1163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差异</w:t>
      </w:r>
      <w:r>
        <w:rPr>
          <w:rFonts w:eastAsiaTheme="minorEastAsia" w:hAnsiTheme="minorHAnsi" w:cstheme="minorBidi"/>
          <w:color w:val="000000"/>
          <w:spacing w:val="108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负债</w:t>
      </w:r>
      <w:r>
        <w:rPr>
          <w:rFonts w:eastAsiaTheme="minorEastAsia" w:hAnsiTheme="minorHAnsi" w:cstheme="minorBidi"/>
          <w:color w:val="000000"/>
          <w:spacing w:val="80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差异</w:t>
      </w:r>
      <w:r>
        <w:rPr>
          <w:rFonts w:eastAsiaTheme="minorEastAsia" w:hAnsiTheme="minorHAnsi" w:cstheme="minorBidi"/>
          <w:color w:val="000000"/>
          <w:spacing w:val="108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负债</w:t>
      </w:r>
    </w:p>
    <w:p>
      <w:pPr>
        <w:framePr w:w="3408" w:x="1798" w:y="12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非同一控制企业合并资产评估增值</w:t>
      </w:r>
    </w:p>
    <w:p>
      <w:pPr>
        <w:framePr w:w="3408" w:x="1798" w:y="12193"/>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其他债权投资公允价值变动</w:t>
      </w:r>
    </w:p>
    <w:p>
      <w:pPr>
        <w:framePr w:w="3408" w:x="1798" w:y="12193"/>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其他权益工具投资公允价值变动</w:t>
      </w:r>
    </w:p>
    <w:p>
      <w:pPr>
        <w:framePr w:w="3408" w:x="1798" w:y="12193"/>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固定资产加速折旧</w:t>
      </w:r>
    </w:p>
    <w:p>
      <w:pPr>
        <w:framePr w:w="2571" w:x="5459" w:y="130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349,670.27</w:t>
      </w:r>
      <w:r>
        <w:rPr>
          <w:rFonts w:ascii="SimSun" w:eastAsiaTheme="minorEastAsia" w:hAnsiTheme="minorHAnsi" w:cstheme="minorBidi"/>
          <w:color w:val="000000"/>
          <w:spacing w:val="2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52,450.54</w:t>
      </w:r>
    </w:p>
    <w:p>
      <w:pPr>
        <w:framePr w:w="2571" w:x="5459" w:y="13079"/>
        <w:widowControl w:val="0"/>
        <w:autoSpaceDE w:val="0"/>
        <w:autoSpaceDN w:val="0"/>
        <w:spacing w:before="8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r>
        <w:rPr>
          <w:rFonts w:ascii="SimSun" w:eastAsiaTheme="minorEastAsia" w:hAnsiTheme="minorHAnsi" w:cstheme="minorBidi"/>
          <w:color w:val="000000"/>
          <w:spacing w:val="2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11,339.70</w:t>
      </w:r>
    </w:p>
    <w:p>
      <w:pPr>
        <w:framePr w:w="2571" w:x="5459" w:y="13079"/>
        <w:widowControl w:val="0"/>
        <w:autoSpaceDE w:val="0"/>
        <w:autoSpaceDN w:val="0"/>
        <w:spacing w:before="8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425,268.27</w:t>
      </w:r>
      <w:r>
        <w:rPr>
          <w:rFonts w:ascii="SimSun" w:eastAsiaTheme="minorEastAsia" w:hAnsiTheme="minorHAnsi" w:cstheme="minorBidi"/>
          <w:color w:val="000000"/>
          <w:spacing w:val="2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63,790.24</w:t>
      </w:r>
    </w:p>
    <w:p>
      <w:pPr>
        <w:framePr w:w="2578" w:x="8296" w:y="130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584,238.81</w:t>
      </w:r>
      <w:r>
        <w:rPr>
          <w:rFonts w:ascii="SimSun" w:eastAsiaTheme="minorEastAsia" w:hAnsiTheme="minorHAnsi" w:cstheme="minorBidi"/>
          <w:color w:val="000000"/>
          <w:spacing w:val="2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87,635.82</w:t>
      </w:r>
    </w:p>
    <w:p>
      <w:pPr>
        <w:framePr w:w="2578" w:x="8296" w:y="1307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122,821.60</w:t>
      </w:r>
      <w:r>
        <w:rPr>
          <w:rFonts w:ascii="SimSun" w:eastAsiaTheme="minorEastAsia" w:hAnsiTheme="minorHAnsi" w:cstheme="minorBidi"/>
          <w:color w:val="000000"/>
          <w:spacing w:val="23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15,235.36</w:t>
      </w:r>
    </w:p>
    <w:p>
      <w:pPr>
        <w:framePr w:w="2578" w:x="8296" w:y="13079"/>
        <w:widowControl w:val="0"/>
        <w:autoSpaceDE w:val="0"/>
        <w:autoSpaceDN w:val="0"/>
        <w:spacing w:before="8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707,060.41</w:t>
      </w:r>
      <w:r>
        <w:rPr>
          <w:rFonts w:ascii="SimSun" w:eastAsiaTheme="minorEastAsia" w:hAnsiTheme="minorHAnsi" w:cstheme="minorBidi"/>
          <w:color w:val="000000"/>
          <w:spacing w:val="1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102,871.18</w:t>
      </w:r>
    </w:p>
    <w:p>
      <w:pPr>
        <w:framePr w:w="1507" w:x="1798" w:y="133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w:t>
      </w:r>
    </w:p>
    <w:p>
      <w:pPr>
        <w:framePr w:w="662" w:x="1798" w:y="136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4836" w:x="1798" w:y="142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以抵销后净额列示的递延所得税资产或负债</w:t>
      </w:r>
    </w:p>
    <w:p>
      <w:pPr>
        <w:framePr w:w="1817" w:x="1798" w:y="146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6" type="#_x0000_t75" style="width:445.6pt;height:2.7pt;margin-top:53.65pt;margin-left:87.45pt;mso-position-horizontal-relative:page;mso-position-vertical-relative:page;position:absolute;z-index:-251369472">
            <v:imagedata r:id="rId184" o:title=""/>
          </v:shape>
        </w:pict>
      </w:r>
      <w:r>
        <w:rPr>
          <w:noProof/>
        </w:rPr>
        <w:pict>
          <v:shape id="_x0000_s1247" type="#_x0000_t75" style="width:455.1pt;height:148.3pt;margin-top:357.05pt;margin-left:83.25pt;mso-position-horizontal-relative:page;mso-position-vertical-relative:page;position:absolute;z-index:-251439104">
            <v:imagedata r:id="rId185" o:title=""/>
          </v:shape>
        </w:pict>
      </w:r>
      <w:r>
        <w:rPr>
          <w:noProof/>
        </w:rPr>
        <w:pict>
          <v:shape id="_x0000_s1248" type="#_x0000_t75" style="width:454.95pt;height:133.55pt;margin-top:563.85pt;margin-left:83.25pt;mso-position-horizontal-relative:page;mso-position-vertical-relative:page;position:absolute;z-index:-251548672">
            <v:imagedata r:id="rId186" o:title=""/>
          </v:shape>
        </w:pict>
      </w:r>
    </w:p>
    <w:p>
      <w:pPr>
        <w:spacing w:line="0" w:lineRule="atLeast"/>
        <w:rPr>
          <w:rFonts w:ascii="Arial" w:eastAsiaTheme="minorEastAsia" w:hAnsiTheme="minorHAnsi" w:cstheme="minorBidi"/>
          <w:color w:val="FF0000"/>
          <w:sz w:val="2"/>
          <w:szCs w:val="22"/>
          <w:lang w:val="en-US" w:eastAsia="en-US" w:bidi="ar-SA"/>
        </w:rPr>
      </w:pPr>
      <w:bookmarkStart w:id="108" w:name="br1_107"/>
      <w:bookmarkEnd w:id="10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35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未确认递延所得税资产明细</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140"/>
        <w:widowControl w:val="0"/>
        <w:autoSpaceDE w:val="0"/>
        <w:autoSpaceDN w:val="0"/>
        <w:spacing w:before="79" w:line="211" w:lineRule="exact"/>
        <w:ind w:left="46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30" w:x="1798" w:y="2431"/>
        <w:widowControl w:val="0"/>
        <w:autoSpaceDE w:val="0"/>
        <w:autoSpaceDN w:val="0"/>
        <w:spacing w:line="211" w:lineRule="exact"/>
        <w:ind w:left="11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30" w:x="1798" w:y="2431"/>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可抵扣暂时性差异</w:t>
      </w:r>
    </w:p>
    <w:p>
      <w:pPr>
        <w:framePr w:w="1930" w:x="1798" w:y="2431"/>
        <w:widowControl w:val="0"/>
        <w:autoSpaceDE w:val="0"/>
        <w:autoSpaceDN w:val="0"/>
        <w:spacing w:before="8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可抵扣亏损</w:t>
      </w:r>
    </w:p>
    <w:p>
      <w:pPr>
        <w:framePr w:w="1085" w:x="5701" w:y="24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90" w:x="9688" w:y="27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23,183.84</w:t>
      </w:r>
    </w:p>
    <w:p>
      <w:pPr>
        <w:framePr w:w="1613" w:x="6188" w:y="30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19,349,725.20</w:t>
      </w:r>
    </w:p>
    <w:p>
      <w:pPr>
        <w:framePr w:w="1613" w:x="6188" w:y="3014"/>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19,349,725.20</w:t>
      </w:r>
    </w:p>
    <w:p>
      <w:pPr>
        <w:framePr w:w="1507" w:x="9374" w:y="30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8,737,172.93</w:t>
      </w:r>
    </w:p>
    <w:p>
      <w:pPr>
        <w:framePr w:w="1507" w:x="9374" w:y="3014"/>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8,760,356.77</w:t>
      </w:r>
    </w:p>
    <w:p>
      <w:pPr>
        <w:framePr w:w="662" w:x="2924" w:y="33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5887" w:x="1798" w:y="39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未确认递延所得税资产的可抵扣亏损将于以下年度到期</w:t>
      </w:r>
    </w:p>
    <w:p>
      <w:pPr>
        <w:framePr w:w="1817" w:x="1798" w:y="42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65" w:y="45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265" w:y="4540"/>
        <w:widowControl w:val="0"/>
        <w:autoSpaceDE w:val="0"/>
        <w:autoSpaceDN w:val="0"/>
        <w:spacing w:before="77" w:line="211" w:lineRule="exact"/>
        <w:ind w:left="108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p>
      <w:pPr>
        <w:framePr w:w="662" w:x="2520" w:y="4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年份</w:t>
      </w:r>
    </w:p>
    <w:p>
      <w:pPr>
        <w:framePr w:w="662" w:x="2520" w:y="4829"/>
        <w:widowControl w:val="0"/>
        <w:autoSpaceDE w:val="0"/>
        <w:autoSpaceDN w:val="0"/>
        <w:spacing w:before="68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4496" w:y="4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期末金额</w:t>
      </w:r>
    </w:p>
    <w:p>
      <w:pPr>
        <w:framePr w:w="1085" w:x="6803" w:y="4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期初金额</w:t>
      </w:r>
    </w:p>
    <w:p>
      <w:pPr>
        <w:framePr w:w="662" w:x="1798" w:y="5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2024</w:t>
      </w:r>
    </w:p>
    <w:p>
      <w:pPr>
        <w:framePr w:w="662" w:x="1798" w:y="511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2025</w:t>
      </w:r>
    </w:p>
    <w:p>
      <w:pPr>
        <w:framePr w:w="1613" w:x="4587" w:y="5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34,948,691.73</w:t>
      </w:r>
    </w:p>
    <w:p>
      <w:pPr>
        <w:framePr w:w="1613" w:x="4587" w:y="511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42,450,209.06</w:t>
      </w:r>
    </w:p>
    <w:p>
      <w:pPr>
        <w:framePr w:w="1613" w:x="4587" w:y="5119"/>
        <w:widowControl w:val="0"/>
        <w:autoSpaceDE w:val="0"/>
        <w:autoSpaceDN w:val="0"/>
        <w:spacing w:before="8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77,398,900.79</w:t>
      </w:r>
    </w:p>
    <w:p>
      <w:pPr>
        <w:framePr w:w="1613" w:x="6911" w:y="5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34,948,691.73</w:t>
      </w:r>
    </w:p>
    <w:p>
      <w:pPr>
        <w:framePr w:w="1613" w:x="6911" w:y="57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34,948,691.73</w:t>
      </w:r>
    </w:p>
    <w:p>
      <w:pPr>
        <w:framePr w:w="346" w:x="9508" w:y="57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296" w:x="1798" w:y="6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65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7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其他非流动资产</w:t>
      </w:r>
    </w:p>
    <w:p>
      <w:pPr>
        <w:framePr w:w="1817" w:x="1798" w:y="74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757"/>
        <w:widowControl w:val="0"/>
        <w:autoSpaceDE w:val="0"/>
        <w:autoSpaceDN w:val="0"/>
        <w:spacing w:before="72" w:line="211" w:lineRule="exact"/>
        <w:ind w:left="15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4424" w:y="80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4424" w:y="8040"/>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减值准</w:t>
      </w:r>
    </w:p>
    <w:p>
      <w:pPr>
        <w:framePr w:w="662" w:x="1740" w:y="83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874" w:x="8579" w:y="83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减值准</w:t>
      </w:r>
    </w:p>
    <w:p>
      <w:pPr>
        <w:framePr w:w="1085" w:x="3192" w:y="8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655" w:y="8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247" w:y="8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9708" w:y="84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451" w:x="4739" w:y="8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w:t>
      </w:r>
    </w:p>
    <w:p>
      <w:pPr>
        <w:framePr w:w="451" w:x="8790" w:y="8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w:t>
      </w:r>
    </w:p>
    <w:p>
      <w:pPr>
        <w:framePr w:w="1507" w:x="1200" w:y="8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合同取得成本</w:t>
      </w:r>
    </w:p>
    <w:p>
      <w:pPr>
        <w:framePr w:w="1507" w:x="1200" w:y="91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合同履约成本</w:t>
      </w:r>
    </w:p>
    <w:p>
      <w:pPr>
        <w:framePr w:w="1507" w:x="1200" w:y="91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应收退货成本</w:t>
      </w:r>
    </w:p>
    <w:p>
      <w:pPr>
        <w:framePr w:w="1507" w:x="1200" w:y="91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w:t>
      </w:r>
    </w:p>
    <w:p>
      <w:pPr>
        <w:framePr w:w="1718" w:x="1200" w:y="10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预付土地保证金</w:t>
      </w:r>
    </w:p>
    <w:p>
      <w:pPr>
        <w:framePr w:w="1718" w:x="1200" w:y="1000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及土地款</w:t>
      </w:r>
    </w:p>
    <w:p>
      <w:pPr>
        <w:framePr w:w="1613" w:x="2931" w:y="101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24,250,000.00</w:t>
      </w:r>
    </w:p>
    <w:p>
      <w:pPr>
        <w:framePr w:w="1613" w:x="2931" w:y="10143"/>
        <w:widowControl w:val="0"/>
        <w:autoSpaceDE w:val="0"/>
        <w:autoSpaceDN w:val="0"/>
        <w:spacing w:before="20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22,345,718.79</w:t>
      </w:r>
    </w:p>
    <w:p>
      <w:pPr>
        <w:framePr w:w="3200" w:x="5394" w:y="101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24,250,000.00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24,250,000.00</w:t>
      </w:r>
    </w:p>
    <w:p>
      <w:pPr>
        <w:framePr w:w="1613" w:x="9446" w:y="101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24,250,000.00</w:t>
      </w:r>
    </w:p>
    <w:p>
      <w:pPr>
        <w:framePr w:w="1296" w:x="1200" w:y="105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预付设备款</w:t>
      </w:r>
    </w:p>
    <w:p>
      <w:pPr>
        <w:framePr w:w="1296" w:x="1200" w:y="105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预付购房款</w:t>
      </w:r>
    </w:p>
    <w:p>
      <w:pPr>
        <w:framePr w:w="1296" w:x="1200" w:y="10561"/>
        <w:widowControl w:val="0"/>
        <w:autoSpaceDE w:val="0"/>
        <w:autoSpaceDN w:val="0"/>
        <w:spacing w:before="72" w:line="211" w:lineRule="exact"/>
        <w:ind w:left="54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200" w:x="5394" w:y="105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22,345,718.79</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19,630,998.64</w:t>
      </w:r>
    </w:p>
    <w:p>
      <w:pPr>
        <w:framePr w:w="3200" w:x="5394" w:y="10561"/>
        <w:widowControl w:val="0"/>
        <w:autoSpaceDE w:val="0"/>
        <w:autoSpaceDN w:val="0"/>
        <w:spacing w:before="72" w:line="211" w:lineRule="exact"/>
        <w:ind w:left="1697"/>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4,261,668.00</w:t>
      </w:r>
    </w:p>
    <w:p>
      <w:pPr>
        <w:framePr w:w="1613" w:x="9446" w:y="105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19,630,998.64</w:t>
      </w:r>
    </w:p>
    <w:p>
      <w:pPr>
        <w:framePr w:w="1613" w:x="9446" w:y="1056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4,261,668.00</w:t>
      </w:r>
    </w:p>
    <w:p>
      <w:pPr>
        <w:framePr w:w="1613" w:x="9446" w:y="1056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48,142,666.64</w:t>
      </w:r>
    </w:p>
    <w:p>
      <w:pPr>
        <w:framePr w:w="1613" w:x="2931" w:y="11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46,595,718.79</w:t>
      </w:r>
    </w:p>
    <w:p>
      <w:pPr>
        <w:framePr w:w="3200" w:x="5394" w:y="111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46,595,718.79</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48,142,666.64</w:t>
      </w:r>
    </w:p>
    <w:p>
      <w:pPr>
        <w:framePr w:w="1296" w:x="1798" w:y="116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078" w:x="1798" w:y="1209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2013</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5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16</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3"/>
          <w:sz w:val="21"/>
          <w:szCs w:val="22"/>
          <w:lang w:val="en-US" w:eastAsia="en-US" w:bidi="ar-SA"/>
        </w:rPr>
        <w:t>日，潍坊先达与山东潍坊滨海经济技术开发区管委会（以下简称“滨海管</w:t>
      </w:r>
    </w:p>
    <w:p>
      <w:pPr>
        <w:framePr w:w="9078" w:x="1798" w:y="120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委会”）签订“高效生物植保新材料”项目合同书，根据合同条款，项目总用地</w:t>
      </w:r>
      <w:r>
        <w:rPr>
          <w:rFonts w:eastAsiaTheme="minorEastAsia" w:hAnsiTheme="minorHAnsi" w:cstheme="minorBidi"/>
          <w:color w:val="000000"/>
          <w:spacing w:val="57"/>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325</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3"/>
          <w:sz w:val="21"/>
          <w:szCs w:val="22"/>
          <w:lang w:val="en-US" w:eastAsia="en-US" w:bidi="ar-SA"/>
        </w:rPr>
        <w:t>亩，潍坊先</w:t>
      </w:r>
    </w:p>
    <w:p>
      <w:pPr>
        <w:framePr w:w="9078" w:x="1798" w:y="12090"/>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达自合同签订之日起</w:t>
      </w:r>
      <w:r>
        <w:rPr>
          <w:rFonts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4"/>
          <w:sz w:val="21"/>
          <w:szCs w:val="22"/>
          <w:lang w:val="en-US" w:eastAsia="en-US" w:bidi="ar-SA"/>
        </w:rPr>
        <w:t>个工作日内，向滨海管委会交纳保证金</w:t>
      </w:r>
      <w:r>
        <w:rPr>
          <w:rFonts w:eastAsiaTheme="minorEastAsia" w:hAnsiTheme="minorHAnsi" w:cstheme="minorBidi"/>
          <w:color w:val="000000"/>
          <w:spacing w:val="5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1,625.00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9"/>
          <w:sz w:val="21"/>
          <w:szCs w:val="22"/>
          <w:lang w:val="en-US" w:eastAsia="en-US" w:bidi="ar-SA"/>
        </w:rPr>
        <w:t>万元。潍坊先达于</w:t>
      </w:r>
      <w:r>
        <w:rPr>
          <w:rFonts w:eastAsiaTheme="minorEastAsia" w:hAnsiTheme="minorHAnsi" w:cstheme="minorBidi"/>
          <w:color w:val="000000"/>
          <w:spacing w:val="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2013</w:t>
      </w:r>
    </w:p>
    <w:p>
      <w:pPr>
        <w:framePr w:w="9078" w:x="1798" w:y="12090"/>
        <w:widowControl w:val="0"/>
        <w:autoSpaceDE w:val="0"/>
        <w:autoSpaceDN w:val="0"/>
        <w:spacing w:before="199"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日向山东潍坊滨海经济开发区财政国库集中支付中心交纳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1,625.00</w:t>
      </w:r>
      <w:r>
        <w:rPr>
          <w:rFonts w:ascii="SimSun" w:hAnsi="SimSun" w:eastAsiaTheme="minorEastAsia" w:cs="SimSun"/>
          <w:color w:val="000000"/>
          <w:sz w:val="21"/>
          <w:szCs w:val="22"/>
          <w:lang w:val="en-US" w:eastAsia="en-US" w:bidi="ar-SA"/>
        </w:rPr>
        <w:t>万元保证金，</w:t>
      </w:r>
      <w:r>
        <w:rPr>
          <w:rFonts w:ascii="SimSun" w:eastAsiaTheme="minorEastAsia" w:hAnsiTheme="minorHAnsi" w:cstheme="minorBidi"/>
          <w:color w:val="000000"/>
          <w:sz w:val="21"/>
          <w:szCs w:val="22"/>
          <w:lang w:val="en-US" w:eastAsia="en-US" w:bidi="ar-SA"/>
        </w:rPr>
        <w:t>2014</w:t>
      </w:r>
    </w:p>
    <w:p>
      <w:pPr>
        <w:framePr w:w="9078" w:x="1798" w:y="120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w:t>
      </w:r>
      <w:r>
        <w:rPr>
          <w:rFonts w:ascii="SimSun" w:hAnsi="SimSun" w:eastAsiaTheme="minorEastAsia" w:cs="SimSun"/>
          <w:color w:val="000000"/>
          <w:sz w:val="21"/>
          <w:szCs w:val="22"/>
          <w:lang w:val="en-US" w:eastAsia="en-US" w:bidi="ar-SA"/>
        </w:rPr>
        <w:t>日向山东潍坊滨海经济开发区财政国库集中支付中心交纳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300.00</w:t>
      </w:r>
      <w:r>
        <w:rPr>
          <w:rFonts w:ascii="SimSun" w:hAnsi="SimSun" w:eastAsiaTheme="minorEastAsia" w:cs="SimSun"/>
          <w:color w:val="000000"/>
          <w:sz w:val="21"/>
          <w:szCs w:val="22"/>
          <w:lang w:val="en-US" w:eastAsia="en-US" w:bidi="ar-SA"/>
        </w:rPr>
        <w:t>万元土地款，</w:t>
      </w:r>
      <w:r>
        <w:rPr>
          <w:rFonts w:ascii="SimSun" w:eastAsiaTheme="minorEastAsia" w:hAnsiTheme="minorHAnsi" w:cstheme="minorBidi"/>
          <w:color w:val="000000"/>
          <w:sz w:val="21"/>
          <w:szCs w:val="22"/>
          <w:lang w:val="en-US" w:eastAsia="en-US" w:bidi="ar-SA"/>
        </w:rPr>
        <w:t>2014</w:t>
      </w:r>
      <w:r>
        <w:rPr>
          <w:rFonts w:ascii="SimSun" w:hAnsi="SimSun" w:eastAsiaTheme="minorEastAsia" w:cs="SimSun"/>
          <w:color w:val="000000"/>
          <w:sz w:val="21"/>
          <w:szCs w:val="22"/>
          <w:lang w:val="en-US" w:eastAsia="en-US" w:bidi="ar-SA"/>
        </w:rPr>
        <w:t>年</w:t>
      </w:r>
    </w:p>
    <w:p>
      <w:pPr>
        <w:framePr w:w="9078" w:x="1798" w:y="12090"/>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16</w:t>
      </w:r>
      <w:r>
        <w:rPr>
          <w:rFonts w:ascii="SimSun" w:hAnsi="SimSun" w:eastAsiaTheme="minorEastAsia" w:cs="SimSun"/>
          <w:color w:val="000000"/>
          <w:sz w:val="21"/>
          <w:szCs w:val="22"/>
          <w:lang w:val="en-US" w:eastAsia="en-US" w:bidi="ar-SA"/>
        </w:rPr>
        <w:t>日向山东潍坊滨海经济开发区财政国库集中支付中心交纳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500.00</w:t>
      </w:r>
      <w:r>
        <w:rPr>
          <w:rFonts w:ascii="SimSun" w:hAnsi="SimSun" w:eastAsiaTheme="minorEastAsia" w:cs="SimSun"/>
          <w:color w:val="000000"/>
          <w:sz w:val="21"/>
          <w:szCs w:val="22"/>
          <w:lang w:val="en-US" w:eastAsia="en-US" w:bidi="ar-SA"/>
        </w:rPr>
        <w:t>万元土地款；截止</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p>
    <w:p>
      <w:pPr>
        <w:framePr w:w="9078" w:x="1798" w:y="1209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日尚未进行招拍挂。</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109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49" type="#_x0000_t75" style="width:445.6pt;height:2.7pt;margin-top:53.65pt;margin-left:87.45pt;mso-position-horizontal-relative:page;mso-position-vertical-relative:page;position:absolute;z-index:-251328512">
            <v:imagedata r:id="rId187" o:title=""/>
          </v:shape>
        </w:pict>
      </w:r>
      <w:r>
        <w:rPr>
          <w:noProof/>
        </w:rPr>
        <w:pict>
          <v:shape id="_x0000_s1250" type="#_x0000_t75" style="width:454.95pt;height:61.5pt;margin-top:118.2pt;margin-left:83.25pt;mso-position-horizontal-relative:page;mso-position-vertical-relative:page;position:absolute;z-index:-251368448">
            <v:imagedata r:id="rId188" o:title=""/>
          </v:shape>
        </w:pict>
      </w:r>
      <w:r>
        <w:rPr>
          <w:noProof/>
        </w:rPr>
        <w:pict>
          <v:shape id="_x0000_s1251" type="#_x0000_t75" style="width:454.95pt;height:61.45pt;margin-top:238.2pt;margin-left:83.25pt;mso-position-horizontal-relative:page;mso-position-vertical-relative:page;position:absolute;z-index:-251438080">
            <v:imagedata r:id="rId189" o:title=""/>
          </v:shape>
        </w:pict>
      </w:r>
      <w:r>
        <w:rPr>
          <w:noProof/>
        </w:rPr>
        <w:pict>
          <v:shape id="_x0000_s1252" type="#_x0000_t75" style="width:494.2pt;height:170.85pt;margin-top:399.05pt;margin-left:53.25pt;mso-position-horizontal-relative:page;mso-position-vertical-relative:page;position:absolute;z-index:-251547648">
            <v:imagedata r:id="rId190" o:title=""/>
          </v:shape>
        </w:pict>
      </w:r>
    </w:p>
    <w:p>
      <w:pPr>
        <w:spacing w:line="0" w:lineRule="atLeast"/>
        <w:rPr>
          <w:rFonts w:ascii="Arial" w:eastAsiaTheme="minorEastAsia" w:hAnsiTheme="minorHAnsi" w:cstheme="minorBidi"/>
          <w:color w:val="FF0000"/>
          <w:sz w:val="2"/>
          <w:szCs w:val="22"/>
          <w:lang w:val="en-US" w:eastAsia="en-US" w:bidi="ar-SA"/>
        </w:rPr>
      </w:pPr>
      <w:bookmarkStart w:id="109" w:name="br1_108"/>
      <w:bookmarkEnd w:id="10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589"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短期借款</w:t>
      </w:r>
    </w:p>
    <w:p>
      <w:pPr>
        <w:framePr w:w="2138"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短期借款分类</w:t>
      </w:r>
    </w:p>
    <w:p>
      <w:pPr>
        <w:framePr w:w="2138" w:x="1798" w:y="186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474"/>
        <w:widowControl w:val="0"/>
        <w:autoSpaceDE w:val="0"/>
        <w:autoSpaceDN w:val="0"/>
        <w:spacing w:before="70" w:line="211" w:lineRule="exact"/>
        <w:ind w:left="41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858" w:x="1798" w:y="2755"/>
        <w:widowControl w:val="0"/>
        <w:autoSpaceDE w:val="0"/>
        <w:autoSpaceDN w:val="0"/>
        <w:spacing w:line="211" w:lineRule="exact"/>
        <w:ind w:left="119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58" w:x="1798" w:y="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质押借款</w:t>
      </w:r>
    </w:p>
    <w:p>
      <w:pPr>
        <w:framePr w:w="1858" w:x="1798" w:y="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抵押借款</w:t>
      </w:r>
    </w:p>
    <w:p>
      <w:pPr>
        <w:framePr w:w="1858" w:x="1798" w:y="275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保证借款</w:t>
      </w:r>
    </w:p>
    <w:p>
      <w:pPr>
        <w:framePr w:w="1858" w:x="1798" w:y="275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信用借款</w:t>
      </w:r>
    </w:p>
    <w:p>
      <w:pPr>
        <w:framePr w:w="1858" w:x="1798" w:y="2755"/>
        <w:widowControl w:val="0"/>
        <w:autoSpaceDE w:val="0"/>
        <w:autoSpaceDN w:val="0"/>
        <w:spacing w:before="72" w:line="211" w:lineRule="exact"/>
        <w:ind w:left="119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720"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9086" w:y="33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9086" w:y="388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20,000,000.00</w:t>
      </w:r>
    </w:p>
    <w:p>
      <w:pPr>
        <w:framePr w:w="1613" w:x="9086" w:y="388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40,000,000.00</w:t>
      </w:r>
    </w:p>
    <w:p>
      <w:pPr>
        <w:framePr w:w="2352" w:x="1798" w:y="47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短期借款分类的说明：</w:t>
      </w:r>
    </w:p>
    <w:p>
      <w:pPr>
        <w:framePr w:w="2352" w:x="1798" w:y="47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612" w:x="1798" w:y="5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已逾期未偿还的短期借款情况</w:t>
      </w:r>
    </w:p>
    <w:p>
      <w:pPr>
        <w:framePr w:w="1817" w:x="1798" w:y="62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620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68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74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交易性金融负债</w:t>
      </w:r>
    </w:p>
    <w:p>
      <w:pPr>
        <w:framePr w:w="1817" w:x="1798" w:y="78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80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817" w:x="1798" w:y="8376"/>
        <w:widowControl w:val="0"/>
        <w:autoSpaceDE w:val="0"/>
        <w:autoSpaceDN w:val="0"/>
        <w:spacing w:line="211" w:lineRule="exact"/>
        <w:ind w:left="115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17" w:x="1798" w:y="83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交易性金融负债</w:t>
      </w:r>
    </w:p>
    <w:p>
      <w:pPr>
        <w:framePr w:w="1817" w:x="1798" w:y="83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085" w:x="4988" w:y="8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529" w:y="8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8068" w:y="8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580" w:y="8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986" w:x="1798" w:y="9224"/>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2986" w:x="1798" w:y="922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指定以公允价值计量且其变动</w:t>
      </w:r>
    </w:p>
    <w:p>
      <w:pPr>
        <w:framePr w:w="2986" w:x="1798" w:y="922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计入当期损益的金融负债</w:t>
      </w:r>
    </w:p>
    <w:p>
      <w:pPr>
        <w:framePr w:w="2986" w:x="1798" w:y="922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507" w:x="4806" w:y="92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2780" w:x="8094" w:y="92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625,840.70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2,671,429.90</w:t>
      </w:r>
    </w:p>
    <w:p>
      <w:pPr>
        <w:framePr w:w="662" w:x="2952" w:y="103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4806" w:y="103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3,297,270.60</w:t>
      </w:r>
    </w:p>
    <w:p>
      <w:pPr>
        <w:framePr w:w="2780" w:x="8094" w:y="103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625,840.70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2,671,429.90</w:t>
      </w:r>
    </w:p>
    <w:p>
      <w:pPr>
        <w:framePr w:w="1296" w:x="1798" w:y="106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110" w:x="1798" w:y="1089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日，本公司未交割的远期结售汇合约共计</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2,692.40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万美元，根据未交</w:t>
      </w:r>
    </w:p>
    <w:p>
      <w:pPr>
        <w:framePr w:w="9110" w:x="1798" w:y="1089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割的远期结售汇约定汇率与根据剩余交割时限确定的期末金融机构远期汇率报价的差额计算得出</w:t>
      </w:r>
    </w:p>
    <w:p>
      <w:pPr>
        <w:framePr w:w="9110" w:x="1798" w:y="10899"/>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的远期结售汇公允价值为</w:t>
      </w:r>
      <w:r>
        <w:rPr>
          <w:rFonts w:ascii="SimSun" w:eastAsiaTheme="minorEastAsia" w:hAnsiTheme="minorHAnsi" w:cstheme="minorBidi"/>
          <w:color w:val="000000"/>
          <w:sz w:val="21"/>
          <w:szCs w:val="22"/>
          <w:lang w:val="en-US" w:eastAsia="en-US" w:bidi="ar-SA"/>
        </w:rPr>
        <w:t>-2,671,429.90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5"/>
          <w:sz w:val="21"/>
          <w:szCs w:val="22"/>
          <w:lang w:val="en-US" w:eastAsia="en-US" w:bidi="ar-SA"/>
        </w:rPr>
        <w:t>元人民币，即交易性金融负债期末余额为</w:t>
      </w:r>
      <w:r>
        <w:rPr>
          <w:rFonts w:eastAsiaTheme="minorEastAsia" w:hAnsiTheme="minorHAnsi" w:cstheme="minorBidi"/>
          <w:color w:val="000000"/>
          <w:spacing w:val="6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2,671,429.90</w:t>
      </w:r>
    </w:p>
    <w:p>
      <w:pPr>
        <w:framePr w:w="9110" w:x="1798" w:y="10899"/>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元人民币。</w:t>
      </w:r>
    </w:p>
    <w:p>
      <w:pPr>
        <w:framePr w:w="2011" w:x="1798" w:y="1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衍生金融负债</w:t>
      </w:r>
    </w:p>
    <w:p>
      <w:pPr>
        <w:framePr w:w="1817" w:x="1798" w:y="129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35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应付票据</w:t>
      </w:r>
    </w:p>
    <w:p>
      <w:pPr>
        <w:framePr w:w="1817" w:x="1798" w:y="138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1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77" w:x="1798" w:y="14423"/>
        <w:widowControl w:val="0"/>
        <w:autoSpaceDE w:val="0"/>
        <w:autoSpaceDN w:val="0"/>
        <w:spacing w:line="211" w:lineRule="exact"/>
        <w:ind w:left="9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种类</w:t>
      </w:r>
    </w:p>
    <w:p>
      <w:pPr>
        <w:framePr w:w="1577" w:x="1798" w:y="1442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商业承兑汇票</w:t>
      </w:r>
    </w:p>
    <w:p>
      <w:pPr>
        <w:framePr w:w="1577" w:x="1798" w:y="1442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银行承兑汇票</w:t>
      </w:r>
    </w:p>
    <w:p>
      <w:pPr>
        <w:framePr w:w="2287" w:x="5329" w:y="144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287" w:x="5329" w:y="14423"/>
        <w:widowControl w:val="0"/>
        <w:autoSpaceDE w:val="0"/>
        <w:autoSpaceDN w:val="0"/>
        <w:spacing w:before="362" w:line="211" w:lineRule="exact"/>
        <w:ind w:left="57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314,250,000.00</w:t>
      </w:r>
    </w:p>
    <w:p>
      <w:pPr>
        <w:framePr w:w="1085" w:x="8620" w:y="144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718" w:x="9148" w:y="149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3" type="#_x0000_t75" style="width:445.6pt;height:2.7pt;margin-top:53.65pt;margin-left:87.45pt;mso-position-horizontal-relative:page;mso-position-vertical-relative:page;position:absolute;z-index:-251327488">
            <v:imagedata r:id="rId191" o:title=""/>
          </v:shape>
        </w:pict>
      </w:r>
      <w:r>
        <w:rPr>
          <w:noProof/>
        </w:rPr>
        <w:pict>
          <v:shape id="_x0000_s1254" type="#_x0000_t75" style="width:447.3pt;height:87.2pt;margin-top:134.8pt;margin-left:87.1pt;mso-position-horizontal-relative:page;mso-position-vertical-relative:page;position:absolute;z-index:-251367424">
            <v:imagedata r:id="rId192" o:title=""/>
          </v:shape>
        </w:pict>
      </w:r>
      <w:r>
        <w:rPr>
          <w:noProof/>
        </w:rPr>
        <w:pict>
          <v:shape id="_x0000_s1255" type="#_x0000_t75" style="width:455.55pt;height:114.95pt;margin-top:415.85pt;margin-left:83pt;mso-position-horizontal-relative:page;mso-position-vertical-relative:page;position:absolute;z-index:-251437056">
            <v:imagedata r:id="rId193" o:title=""/>
          </v:shape>
        </w:pict>
      </w:r>
      <w:r>
        <w:rPr>
          <w:noProof/>
        </w:rPr>
        <w:pict>
          <v:shape id="_x0000_s1256" type="#_x0000_t75" style="width:447.5pt;height:45.8pt;margin-top:717.95pt;margin-left:87pt;mso-position-horizontal-relative:page;mso-position-vertical-relative:page;position:absolute;z-index:-251546624">
            <v:imagedata r:id="rId194" o:title=""/>
          </v:shape>
        </w:pict>
      </w:r>
    </w:p>
    <w:p>
      <w:pPr>
        <w:spacing w:line="0" w:lineRule="atLeast"/>
        <w:rPr>
          <w:rFonts w:ascii="Arial" w:eastAsiaTheme="minorEastAsia" w:hAnsiTheme="minorHAnsi" w:cstheme="minorBidi"/>
          <w:color w:val="FF0000"/>
          <w:sz w:val="2"/>
          <w:szCs w:val="22"/>
          <w:lang w:val="en-US" w:eastAsia="en-US" w:bidi="ar-SA"/>
        </w:rPr>
      </w:pPr>
      <w:bookmarkStart w:id="110" w:name="br1_109"/>
      <w:bookmarkEnd w:id="11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62" w:x="2712"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5917"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314,250,000.00</w:t>
      </w:r>
    </w:p>
    <w:p>
      <w:pPr>
        <w:framePr w:w="1718" w:x="9148"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193,900,000.00</w:t>
      </w:r>
    </w:p>
    <w:p>
      <w:pPr>
        <w:framePr w:w="4813" w:x="1798" w:y="1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本期末已到期未支付的应付票据总额为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1589" w:x="1798" w:y="2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应付账款</w:t>
      </w:r>
    </w:p>
    <w:p>
      <w:pPr>
        <w:framePr w:w="2095" w:x="1798" w:y="2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应付账款列示</w:t>
      </w:r>
    </w:p>
    <w:p>
      <w:pPr>
        <w:framePr w:w="1817" w:x="1798" w:y="32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5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518"/>
        <w:widowControl w:val="0"/>
        <w:autoSpaceDE w:val="0"/>
        <w:autoSpaceDN w:val="0"/>
        <w:spacing w:before="70" w:line="211" w:lineRule="exact"/>
        <w:ind w:left="32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2900" w:y="3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90" w:x="5543" w:y="3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990" w:x="5543" w:y="3799"/>
        <w:widowControl w:val="0"/>
        <w:autoSpaceDE w:val="0"/>
        <w:autoSpaceDN w:val="0"/>
        <w:spacing w:before="72" w:line="211" w:lineRule="exact"/>
        <w:ind w:left="27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109,370,442.80</w:t>
      </w:r>
    </w:p>
    <w:p>
      <w:pPr>
        <w:framePr w:w="1296" w:x="1798" w:y="40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应付材料款</w:t>
      </w:r>
    </w:p>
    <w:p>
      <w:pPr>
        <w:framePr w:w="1296" w:x="1798" w:y="408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应付工程款</w:t>
      </w:r>
    </w:p>
    <w:p>
      <w:pPr>
        <w:framePr w:w="1296" w:x="1798" w:y="40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应付设备款</w:t>
      </w:r>
    </w:p>
    <w:p>
      <w:pPr>
        <w:framePr w:w="1296" w:x="1798" w:y="408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718" w:x="9160" w:y="40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113,007,441.32</w:t>
      </w:r>
    </w:p>
    <w:p>
      <w:pPr>
        <w:framePr w:w="1718" w:x="9160" w:y="408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68,119,129.55</w:t>
      </w:r>
    </w:p>
    <w:p>
      <w:pPr>
        <w:framePr w:w="1718" w:x="9160" w:y="408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21,847,890.09</w:t>
      </w:r>
    </w:p>
    <w:p>
      <w:pPr>
        <w:framePr w:w="1718" w:x="9160" w:y="4082"/>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2,170,669.95</w:t>
      </w:r>
    </w:p>
    <w:p>
      <w:pPr>
        <w:framePr w:w="1718" w:x="5819" w:y="436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57,435,859.26</w:t>
      </w:r>
    </w:p>
    <w:p>
      <w:pPr>
        <w:framePr w:w="1718" w:x="5819" w:y="436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15,743,626.01</w:t>
      </w:r>
    </w:p>
    <w:p>
      <w:pPr>
        <w:framePr w:w="1718" w:x="5819" w:y="436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21,234,677.52</w:t>
      </w:r>
    </w:p>
    <w:p>
      <w:pPr>
        <w:framePr w:w="1718" w:x="5819" w:y="4363"/>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203,784,605.59</w:t>
      </w:r>
    </w:p>
    <w:p>
      <w:pPr>
        <w:framePr w:w="662" w:x="2900" w:y="52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52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205,145,130.91</w:t>
      </w:r>
    </w:p>
    <w:p>
      <w:pPr>
        <w:framePr w:w="3588" w:x="1798" w:y="5806"/>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账龄超过</w:t>
      </w:r>
      <w:r>
        <w:rPr>
          <w:rFonts w:eastAsiaTheme="minorEastAsia" w:hAnsiTheme="minorHAnsi" w:cstheme="minorBidi"/>
          <w:color w:val="000000"/>
          <w:sz w:val="21"/>
          <w:szCs w:val="22"/>
          <w:lang w:val="en-US" w:eastAsia="en-US" w:bidi="ar-SA"/>
        </w:rPr>
        <w:t xml:space="preserve"> </w:t>
      </w:r>
      <w:r>
        <w:rPr>
          <w:rFonts w:ascii="Cambria" w:eastAsiaTheme="minorEastAsia" w:hAnsiTheme="minorHAnsi" w:cstheme="minorBidi"/>
          <w:b/>
          <w:color w:val="000000"/>
          <w:sz w:val="21"/>
          <w:szCs w:val="22"/>
          <w:lang w:val="en-US" w:eastAsia="en-US" w:bidi="ar-SA"/>
        </w:rPr>
        <w:t>1</w:t>
      </w:r>
      <w:r>
        <w:rPr>
          <w:rFonts w:ascii="Cambria" w:eastAsiaTheme="minorEastAsia" w:hAnsiTheme="minorHAnsi" w:cstheme="minorBidi"/>
          <w:b/>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年的重要应付账款</w:t>
      </w:r>
    </w:p>
    <w:p>
      <w:pPr>
        <w:framePr w:w="1817" w:x="1798" w:y="62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629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71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77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预收款项</w:t>
      </w:r>
    </w:p>
    <w:p>
      <w:pPr>
        <w:framePr w:w="2246" w:x="1798" w:y="81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预收账款项列示</w:t>
      </w:r>
    </w:p>
    <w:p>
      <w:pPr>
        <w:framePr w:w="1817" w:x="1798" w:y="86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528" w:x="1798" w:y="8967"/>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账龄超过</w:t>
      </w:r>
      <w:r>
        <w:rPr>
          <w:rFonts w:eastAsiaTheme="minorEastAsia" w:hAnsiTheme="minorHAnsi" w:cstheme="minorBidi"/>
          <w:color w:val="000000"/>
          <w:sz w:val="21"/>
          <w:szCs w:val="22"/>
          <w:lang w:val="en-US" w:eastAsia="en-US" w:bidi="ar-SA"/>
        </w:rPr>
        <w:t xml:space="preserve"> </w:t>
      </w:r>
      <w:r>
        <w:rPr>
          <w:rFonts w:ascii="Cambria" w:eastAsiaTheme="minorEastAsia" w:hAnsiTheme="minorHAnsi" w:cstheme="minorBidi"/>
          <w:b/>
          <w:color w:val="000000"/>
          <w:sz w:val="21"/>
          <w:szCs w:val="22"/>
          <w:lang w:val="en-US" w:eastAsia="en-US" w:bidi="ar-SA"/>
        </w:rPr>
        <w:t>1</w:t>
      </w:r>
      <w:r>
        <w:rPr>
          <w:rFonts w:ascii="Cambria" w:eastAsiaTheme="minorEastAsia" w:hAnsiTheme="minorHAnsi" w:cstheme="minorBidi"/>
          <w:b/>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年的重要预收款项</w:t>
      </w:r>
    </w:p>
    <w:p>
      <w:pPr>
        <w:framePr w:w="1817" w:x="1798" w:y="94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945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0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0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合同负债</w:t>
      </w:r>
    </w:p>
    <w:p>
      <w:pPr>
        <w:framePr w:w="1932" w:x="1798" w:y="112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合同负债情况</w:t>
      </w:r>
    </w:p>
    <w:p>
      <w:pPr>
        <w:framePr w:w="1932" w:x="1798" w:y="11209"/>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8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813"/>
        <w:widowControl w:val="0"/>
        <w:autoSpaceDE w:val="0"/>
        <w:autoSpaceDN w:val="0"/>
        <w:spacing w:before="73" w:line="211" w:lineRule="exact"/>
        <w:ind w:left="46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2720" w:y="12097"/>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2720" w:y="120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预收货款</w:t>
      </w:r>
    </w:p>
    <w:p>
      <w:pPr>
        <w:framePr w:w="1085" w:x="2720" w:y="12097"/>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706" w:y="120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6193" w:y="123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87,438,957.62</w:t>
      </w:r>
    </w:p>
    <w:p>
      <w:pPr>
        <w:framePr w:w="1613" w:x="6193" w:y="123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87,438,957.62</w:t>
      </w:r>
    </w:p>
    <w:p>
      <w:pPr>
        <w:framePr w:w="1613" w:x="9266" w:y="123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1613" w:x="9266" w:y="123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87,694,315.47</w:t>
      </w:r>
    </w:p>
    <w:p>
      <w:pPr>
        <w:framePr w:w="4886" w:x="1798" w:y="132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报告期内账面价值发生重大变动的金额和原因</w:t>
      </w:r>
    </w:p>
    <w:p>
      <w:pPr>
        <w:framePr w:w="1817" w:x="1798" w:y="1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744"/>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57" type="#_x0000_t75" style="width:445.6pt;height:2.7pt;margin-top:53.65pt;margin-left:87.45pt;mso-position-horizontal-relative:page;mso-position-vertical-relative:page;position:absolute;z-index:-251326464">
            <v:imagedata r:id="rId195" o:title=""/>
          </v:shape>
        </w:pict>
      </w:r>
      <w:r>
        <w:rPr>
          <w:noProof/>
        </w:rPr>
        <w:pict>
          <v:shape id="_x0000_s1258" type="#_x0000_t75" style="width:447.5pt;height:17.15pt;margin-top:74.3pt;margin-left:87pt;mso-position-horizontal-relative:page;mso-position-vertical-relative:page;position:absolute;z-index:-251366400">
            <v:imagedata r:id="rId196" o:title=""/>
          </v:shape>
        </w:pict>
      </w:r>
      <w:r>
        <w:rPr>
          <w:noProof/>
        </w:rPr>
        <w:pict>
          <v:shape id="_x0000_s1259" type="#_x0000_t75" style="width:454.95pt;height:87.25pt;margin-top:187pt;margin-left:83.25pt;mso-position-horizontal-relative:page;mso-position-vertical-relative:page;position:absolute;z-index:-251436032">
            <v:imagedata r:id="rId197" o:title=""/>
          </v:shape>
        </w:pict>
      </w:r>
      <w:r>
        <w:rPr>
          <w:noProof/>
        </w:rPr>
        <w:pict>
          <v:shape id="_x0000_s1260" type="#_x0000_t75" style="width:454.95pt;height:44.85pt;margin-top:601.85pt;margin-left:83.25pt;mso-position-horizontal-relative:page;mso-position-vertical-relative:page;position:absolute;z-index:-251545600">
            <v:imagedata r:id="rId198" o:title=""/>
          </v:shape>
        </w:pict>
      </w:r>
    </w:p>
    <w:p>
      <w:pPr>
        <w:spacing w:line="0" w:lineRule="atLeast"/>
        <w:rPr>
          <w:rFonts w:ascii="Arial" w:eastAsiaTheme="minorEastAsia" w:hAnsiTheme="minorHAnsi" w:cstheme="minorBidi"/>
          <w:color w:val="FF0000"/>
          <w:sz w:val="2"/>
          <w:szCs w:val="22"/>
          <w:lang w:val="en-US" w:eastAsia="en-US" w:bidi="ar-SA"/>
        </w:rPr>
      </w:pPr>
      <w:bookmarkStart w:id="111" w:name="br1_110"/>
      <w:bookmarkEnd w:id="11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4"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应付职工薪酬</w:t>
      </w:r>
    </w:p>
    <w:p>
      <w:pPr>
        <w:framePr w:w="2354" w:x="1798" w:y="1535"/>
        <w:widowControl w:val="0"/>
        <w:autoSpaceDE w:val="0"/>
        <w:autoSpaceDN w:val="0"/>
        <w:spacing w:before="12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应付职工薪酬列示</w:t>
      </w:r>
    </w:p>
    <w:p>
      <w:pPr>
        <w:framePr w:w="2354" w:x="1798" w:y="1535"/>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549"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4676"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3216" w:x="4429" w:y="2755"/>
        <w:widowControl w:val="0"/>
        <w:autoSpaceDE w:val="0"/>
        <w:autoSpaceDN w:val="0"/>
        <w:spacing w:line="211" w:lineRule="exact"/>
        <w:ind w:left="1858"/>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3216" w:x="4429" w:y="27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r>
        <w:rPr>
          <w:rFonts w:ascii="SimSun" w:eastAsiaTheme="minorEastAsia" w:hAnsiTheme="minorHAnsi" w:cstheme="minorBidi"/>
          <w:color w:val="000000"/>
          <w:spacing w:val="13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71,052,118.73</w:t>
      </w:r>
    </w:p>
    <w:p>
      <w:pPr>
        <w:framePr w:w="3216" w:x="4429" w:y="2755"/>
        <w:widowControl w:val="0"/>
        <w:autoSpaceDE w:val="0"/>
        <w:autoSpaceDN w:val="0"/>
        <w:spacing w:before="72" w:line="211" w:lineRule="exact"/>
        <w:ind w:left="1922"/>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729,326.42</w:t>
      </w:r>
    </w:p>
    <w:p>
      <w:pPr>
        <w:framePr w:w="1085" w:x="7991"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3308" w:x="7840" w:y="2755"/>
        <w:widowControl w:val="0"/>
        <w:autoSpaceDE w:val="0"/>
        <w:autoSpaceDN w:val="0"/>
        <w:spacing w:line="211" w:lineRule="exact"/>
        <w:ind w:left="190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3308" w:x="7840" w:y="27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73,487,273.49</w:t>
      </w:r>
      <w:r>
        <w:rPr>
          <w:rFonts w:ascii="SimSun"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27,263,873.26</w:t>
      </w:r>
    </w:p>
    <w:p>
      <w:pPr>
        <w:framePr w:w="3308" w:x="7840" w:y="2755"/>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729,326.42</w:t>
      </w:r>
    </w:p>
    <w:p>
      <w:pPr>
        <w:framePr w:w="1507" w:x="1337" w:y="3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一、短期薪酬</w:t>
      </w:r>
    </w:p>
    <w:p>
      <w:pPr>
        <w:framePr w:w="3091" w:x="1337" w:y="3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二、离职后福利</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设定提存计划</w:t>
      </w:r>
    </w:p>
    <w:p>
      <w:pPr>
        <w:framePr w:w="3091" w:x="1337" w:y="332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三、辞退福利</w:t>
      </w:r>
    </w:p>
    <w:p>
      <w:pPr>
        <w:framePr w:w="2774" w:x="1337" w:y="3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四、一年内到期的其他福利</w:t>
      </w:r>
    </w:p>
    <w:p>
      <w:pPr>
        <w:framePr w:w="2774" w:x="1337" w:y="3885"/>
        <w:widowControl w:val="0"/>
        <w:autoSpaceDE w:val="0"/>
        <w:autoSpaceDN w:val="0"/>
        <w:spacing w:before="72" w:line="211" w:lineRule="exact"/>
        <w:ind w:left="121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4798" w:x="4429" w:y="41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71,781,445.15</w:t>
      </w:r>
      <w:r>
        <w:rPr>
          <w:rFonts w:ascii="SimSun" w:eastAsiaTheme="minorEastAsia" w:hAnsiTheme="minorHAnsi" w:cstheme="minorBidi"/>
          <w:color w:val="000000"/>
          <w:spacing w:val="13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74,216,599.91</w:t>
      </w:r>
    </w:p>
    <w:p>
      <w:pPr>
        <w:framePr w:w="1613" w:x="9540" w:y="41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27,263,873.26</w:t>
      </w:r>
    </w:p>
    <w:p>
      <w:pPr>
        <w:framePr w:w="1932" w:x="1798" w:y="4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短期薪酬列示</w:t>
      </w:r>
    </w:p>
    <w:p>
      <w:pPr>
        <w:framePr w:w="1817" w:x="1798" w:y="51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79" w:x="7895" w:y="5388"/>
        <w:widowControl w:val="0"/>
        <w:autoSpaceDE w:val="0"/>
        <w:autoSpaceDN w:val="0"/>
        <w:spacing w:line="211" w:lineRule="exact"/>
        <w:ind w:left="53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979" w:x="7895" w:y="538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r>
        <w:rPr>
          <w:rFonts w:eastAsiaTheme="minorEastAsia" w:hAnsiTheme="minorHAnsi" w:cstheme="minorBidi"/>
          <w:color w:val="000000"/>
          <w:spacing w:val="719"/>
          <w:sz w:val="21"/>
          <w:szCs w:val="22"/>
          <w:lang w:val="en-US" w:eastAsia="en-US" w:bidi="ar-SA"/>
        </w:rPr>
        <w:t xml:space="preserve"> </w:t>
      </w:r>
      <w:r>
        <w:rPr>
          <w:rFonts w:ascii="SimSun" w:hAnsi="SimSun" w:eastAsiaTheme="minorEastAsia" w:cs="SimSun"/>
          <w:color w:val="000000"/>
          <w:sz w:val="21"/>
          <w:szCs w:val="22"/>
          <w:lang w:val="en-US" w:eastAsia="en-US" w:bidi="ar-SA"/>
        </w:rPr>
        <w:t>期末余额</w:t>
      </w:r>
    </w:p>
    <w:p>
      <w:pPr>
        <w:framePr w:w="2563" w:x="1798" w:y="5669"/>
        <w:widowControl w:val="0"/>
        <w:autoSpaceDE w:val="0"/>
        <w:autoSpaceDN w:val="0"/>
        <w:spacing w:line="211" w:lineRule="exact"/>
        <w:ind w:left="98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563" w:x="1798" w:y="56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一、工资、奖金、津贴和</w:t>
      </w:r>
    </w:p>
    <w:p>
      <w:pPr>
        <w:framePr w:w="2563" w:x="1798" w:y="566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补贴</w:t>
      </w:r>
    </w:p>
    <w:p>
      <w:pPr>
        <w:framePr w:w="1085" w:x="4691" w:y="56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294" w:y="56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6376" w:x="4427" w:y="60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13,753,951.68</w:t>
      </w:r>
      <w:r>
        <w:rPr>
          <w:rFonts w:ascii="SimSun" w:eastAsiaTheme="minorEastAsia" w:hAnsiTheme="minorHAnsi" w:cstheme="minorBidi"/>
          <w:color w:val="000000"/>
          <w:spacing w:val="13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62,624,914.24</w:t>
      </w:r>
      <w:r>
        <w:rPr>
          <w:rFonts w:ascii="SimSun" w:eastAsiaTheme="minorEastAsia" w:hAnsiTheme="minorHAnsi" w:cstheme="minorBidi"/>
          <w:color w:val="000000"/>
          <w:spacing w:val="12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66,540,901.33</w:t>
      </w:r>
      <w:r>
        <w:rPr>
          <w:rFonts w:ascii="SimSun" w:eastAsiaTheme="minorEastAsia" w:hAnsiTheme="minorHAnsi" w:cstheme="minorBidi"/>
          <w:color w:val="000000"/>
          <w:spacing w:val="19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9,837,964.59</w:t>
      </w:r>
    </w:p>
    <w:p>
      <w:pPr>
        <w:framePr w:w="1930" w:x="1798" w:y="65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二、职工福利费</w:t>
      </w:r>
    </w:p>
    <w:p>
      <w:pPr>
        <w:framePr w:w="1930" w:x="1798" w:y="65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三、社会保险费</w:t>
      </w:r>
    </w:p>
    <w:p>
      <w:pPr>
        <w:framePr w:w="1930" w:x="1798" w:y="650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其中：医疗保险费</w:t>
      </w:r>
    </w:p>
    <w:p>
      <w:pPr>
        <w:framePr w:w="1930" w:x="1798" w:y="6507"/>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工伤保险费</w:t>
      </w:r>
    </w:p>
    <w:p>
      <w:pPr>
        <w:framePr w:w="3111" w:x="6143" w:y="65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2,924,566.01</w:t>
      </w:r>
      <w:r>
        <w:rPr>
          <w:rFonts w:ascii="SimSun" w:eastAsiaTheme="minorEastAsia" w:hAnsiTheme="minorHAnsi" w:cstheme="minorBidi"/>
          <w:color w:val="000000"/>
          <w:spacing w:val="24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2,924,566.01</w:t>
      </w:r>
    </w:p>
    <w:p>
      <w:pPr>
        <w:framePr w:w="3111" w:x="6143" w:y="650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1,657,604.57</w:t>
      </w:r>
      <w:r>
        <w:rPr>
          <w:rFonts w:ascii="SimSun" w:eastAsiaTheme="minorEastAsia" w:hAnsiTheme="minorHAnsi" w:cstheme="minorBidi"/>
          <w:color w:val="000000"/>
          <w:spacing w:val="24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1,657,604.57</w:t>
      </w:r>
    </w:p>
    <w:p>
      <w:pPr>
        <w:framePr w:w="3111" w:x="6143" w:y="650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1,562,231.46</w:t>
      </w:r>
      <w:r>
        <w:rPr>
          <w:rFonts w:ascii="SimSun" w:eastAsiaTheme="minorEastAsia" w:hAnsiTheme="minorHAnsi" w:cstheme="minorBidi"/>
          <w:color w:val="000000"/>
          <w:spacing w:val="24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1,562,231.46</w:t>
      </w:r>
    </w:p>
    <w:p>
      <w:pPr>
        <w:framePr w:w="1190" w:x="6457" w:y="73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29,088.11</w:t>
      </w:r>
    </w:p>
    <w:p>
      <w:pPr>
        <w:framePr w:w="1190" w:x="6457" w:y="735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66,285.00</w:t>
      </w:r>
    </w:p>
    <w:p>
      <w:pPr>
        <w:framePr w:w="1190" w:x="8065" w:y="735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29,088.11</w:t>
      </w:r>
    </w:p>
    <w:p>
      <w:pPr>
        <w:framePr w:w="1190" w:x="8065" w:y="735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66,285.00</w:t>
      </w:r>
    </w:p>
    <w:p>
      <w:pPr>
        <w:framePr w:w="1296" w:x="2429" w:y="7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生育保险费</w:t>
      </w:r>
    </w:p>
    <w:p>
      <w:pPr>
        <w:framePr w:w="2563" w:x="1798" w:y="79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四、住房公积金</w:t>
      </w:r>
    </w:p>
    <w:p>
      <w:pPr>
        <w:framePr w:w="2563" w:x="1798" w:y="79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五、工会经费和职工教育</w:t>
      </w:r>
    </w:p>
    <w:p>
      <w:pPr>
        <w:framePr w:w="2563" w:x="1798" w:y="791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经费</w:t>
      </w:r>
    </w:p>
    <w:p>
      <w:pPr>
        <w:framePr w:w="3111" w:x="6143" w:y="79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1,656,939.80</w:t>
      </w:r>
      <w:r>
        <w:rPr>
          <w:rFonts w:ascii="SimSun" w:eastAsiaTheme="minorEastAsia" w:hAnsiTheme="minorHAnsi" w:cstheme="minorBidi"/>
          <w:color w:val="000000"/>
          <w:spacing w:val="24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1,656,939.80</w:t>
      </w:r>
    </w:p>
    <w:p>
      <w:pPr>
        <w:framePr w:w="6431" w:x="4443" w:y="83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15,945,076.34</w:t>
      </w:r>
      <w:r>
        <w:rPr>
          <w:rFonts w:ascii="SimSun" w:eastAsiaTheme="minorEastAsia" w:hAnsiTheme="minorHAnsi" w:cstheme="minorBidi"/>
          <w:color w:val="000000"/>
          <w:spacing w:val="2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2,188,094.11</w:t>
      </w:r>
      <w:r>
        <w:rPr>
          <w:rFonts w:ascii="SimSun" w:eastAsiaTheme="minorEastAsia" w:hAnsiTheme="minorHAnsi" w:cstheme="minorBidi"/>
          <w:color w:val="000000"/>
          <w:spacing w:val="45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707,261.78</w:t>
      </w:r>
      <w:r>
        <w:rPr>
          <w:rFonts w:ascii="SimSun" w:eastAsiaTheme="minorEastAsia" w:hAnsiTheme="minorHAnsi" w:cstheme="minorBidi"/>
          <w:color w:val="000000"/>
          <w:spacing w:val="14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17,425,908.67</w:t>
      </w:r>
    </w:p>
    <w:p>
      <w:pPr>
        <w:framePr w:w="2352" w:x="1798" w:y="87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六、短期带薪缺勤</w:t>
      </w:r>
    </w:p>
    <w:p>
      <w:pPr>
        <w:framePr w:w="2352" w:x="1798" w:y="875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七、短期利润分享计划</w:t>
      </w:r>
    </w:p>
    <w:p>
      <w:pPr>
        <w:framePr w:w="2352" w:x="1798" w:y="8756"/>
        <w:widowControl w:val="0"/>
        <w:autoSpaceDE w:val="0"/>
        <w:autoSpaceDN w:val="0"/>
        <w:spacing w:before="70" w:line="211" w:lineRule="exact"/>
        <w:ind w:left="98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6431" w:x="4443" w:y="93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29,699,028.02</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71,052,118.73</w:t>
      </w:r>
      <w:r>
        <w:rPr>
          <w:rFonts w:ascii="SimSun" w:eastAsiaTheme="minorEastAsia" w:hAnsiTheme="minorHAnsi" w:cstheme="minorBidi"/>
          <w:color w:val="000000"/>
          <w:spacing w:val="13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73,487,273.49</w:t>
      </w:r>
      <w:r>
        <w:rPr>
          <w:rFonts w:ascii="SimSun" w:eastAsiaTheme="minorEastAsia" w:hAnsiTheme="minorHAnsi" w:cstheme="minorBidi"/>
          <w:color w:val="000000"/>
          <w:spacing w:val="14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27,263,873.26</w:t>
      </w:r>
    </w:p>
    <w:p>
      <w:pPr>
        <w:framePr w:w="2354" w:x="1798" w:y="99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设定提存计划列示</w:t>
      </w:r>
    </w:p>
    <w:p>
      <w:pPr>
        <w:framePr w:w="1817" w:x="1798" w:y="102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05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824" w:x="1798" w:y="10827"/>
        <w:widowControl w:val="0"/>
        <w:autoSpaceDE w:val="0"/>
        <w:autoSpaceDN w:val="0"/>
        <w:spacing w:line="211" w:lineRule="exact"/>
        <w:ind w:left="9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24" w:x="1798" w:y="1082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、基本养老保险</w:t>
      </w:r>
    </w:p>
    <w:p>
      <w:pPr>
        <w:framePr w:w="1824" w:x="1798" w:y="10827"/>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、失业保险费</w:t>
      </w:r>
    </w:p>
    <w:p>
      <w:pPr>
        <w:framePr w:w="1824" w:x="1798" w:y="10827"/>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、企业年金缴费</w:t>
      </w:r>
    </w:p>
    <w:p>
      <w:pPr>
        <w:framePr w:w="1824" w:x="1798" w:y="10827"/>
        <w:widowControl w:val="0"/>
        <w:autoSpaceDE w:val="0"/>
        <w:autoSpaceDN w:val="0"/>
        <w:spacing w:before="77" w:line="211" w:lineRule="exact"/>
        <w:ind w:left="9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4667" w:y="108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284" w:y="108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907" w:y="108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523" w:y="108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6349" w:y="111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700,719.98</w:t>
      </w:r>
    </w:p>
    <w:p>
      <w:pPr>
        <w:framePr w:w="1296" w:x="6349" w:y="1111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28,606.44</w:t>
      </w:r>
    </w:p>
    <w:p>
      <w:pPr>
        <w:framePr w:w="1296" w:x="7989" w:y="1111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700,719.98</w:t>
      </w:r>
    </w:p>
    <w:p>
      <w:pPr>
        <w:framePr w:w="1296" w:x="7989" w:y="11115"/>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28,606.44</w:t>
      </w:r>
    </w:p>
    <w:p>
      <w:pPr>
        <w:framePr w:w="1296" w:x="6349" w:y="119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729,326.42</w:t>
      </w:r>
    </w:p>
    <w:p>
      <w:pPr>
        <w:framePr w:w="1296" w:x="7989" w:y="119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729,326.42</w:t>
      </w:r>
    </w:p>
    <w:p>
      <w:pPr>
        <w:framePr w:w="1296" w:x="1798" w:y="125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8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34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应交税费</w:t>
      </w:r>
    </w:p>
    <w:p>
      <w:pPr>
        <w:framePr w:w="1817" w:x="1798" w:y="137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4020"/>
        <w:widowControl w:val="0"/>
        <w:autoSpaceDE w:val="0"/>
        <w:autoSpaceDN w:val="0"/>
        <w:spacing w:before="70" w:line="211" w:lineRule="exact"/>
        <w:ind w:left="44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858" w:x="1798" w:y="14300"/>
        <w:widowControl w:val="0"/>
        <w:autoSpaceDE w:val="0"/>
        <w:autoSpaceDN w:val="0"/>
        <w:spacing w:line="211" w:lineRule="exact"/>
        <w:ind w:left="119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58" w:x="1798" w:y="1430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增值税</w:t>
      </w:r>
    </w:p>
    <w:p>
      <w:pPr>
        <w:framePr w:w="1085" w:x="5802" w:y="14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874" w:x="1798" w:y="148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消费税</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1" type="#_x0000_t75" style="width:445.6pt;height:2.7pt;margin-top:53.65pt;margin-left:87.45pt;mso-position-horizontal-relative:page;mso-position-vertical-relative:page;position:absolute;z-index:-251308032">
            <v:imagedata r:id="rId199" o:title=""/>
          </v:shape>
        </w:pict>
      </w:r>
      <w:r>
        <w:rPr>
          <w:noProof/>
        </w:rPr>
        <w:pict>
          <v:shape id="_x0000_s1262" type="#_x0000_t75" style="width:491.7pt;height:87.2pt;margin-top:134.8pt;margin-left:60.3pt;mso-position-horizontal-relative:page;mso-position-vertical-relative:page;position:absolute;z-index:-251325440">
            <v:imagedata r:id="rId200" o:title=""/>
          </v:shape>
        </w:pict>
      </w:r>
      <w:r>
        <w:rPr>
          <w:noProof/>
        </w:rPr>
        <w:pict>
          <v:shape id="_x0000_s1263" type="#_x0000_t75" style="width:454.95pt;height:199.2pt;margin-top:280.5pt;margin-left:83.25pt;mso-position-horizontal-relative:page;mso-position-vertical-relative:page;position:absolute;z-index:-251365376">
            <v:imagedata r:id="rId201" o:title=""/>
          </v:shape>
        </w:pict>
      </w:r>
      <w:r>
        <w:rPr>
          <w:noProof/>
        </w:rPr>
        <w:pict>
          <v:shape id="_x0000_s1264" type="#_x0000_t75" style="width:455.2pt;height:74.65pt;margin-top:538.15pt;margin-left:83.15pt;mso-position-horizontal-relative:page;mso-position-vertical-relative:page;position:absolute;z-index:-251435008">
            <v:imagedata r:id="rId202" o:title=""/>
          </v:shape>
        </w:pict>
      </w:r>
      <w:r>
        <w:rPr>
          <w:noProof/>
        </w:rPr>
        <w:pict>
          <v:shape id="_x0000_s1265" type="#_x0000_t75" style="width:447.3pt;height:44.85pt;margin-top:712.05pt;margin-left:87.1pt;mso-position-horizontal-relative:page;mso-position-vertical-relative:page;position:absolute;z-index:-251544576">
            <v:imagedata r:id="rId203" o:title=""/>
          </v:shape>
        </w:pict>
      </w:r>
    </w:p>
    <w:p>
      <w:pPr>
        <w:spacing w:line="0" w:lineRule="atLeast"/>
        <w:rPr>
          <w:rFonts w:ascii="Arial" w:eastAsiaTheme="minorEastAsia" w:hAnsiTheme="minorHAnsi" w:cstheme="minorBidi"/>
          <w:color w:val="FF0000"/>
          <w:sz w:val="2"/>
          <w:szCs w:val="22"/>
          <w:lang w:val="en-US" w:eastAsia="en-US" w:bidi="ar-SA"/>
        </w:rPr>
      </w:pPr>
      <w:bookmarkStart w:id="112" w:name="br1_111"/>
      <w:bookmarkEnd w:id="11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874"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营业税</w:t>
      </w:r>
    </w:p>
    <w:p>
      <w:pPr>
        <w:framePr w:w="1718"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企业所得税</w:t>
      </w:r>
    </w:p>
    <w:p>
      <w:pPr>
        <w:framePr w:w="1718" w:x="1798"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个人所得税</w:t>
      </w:r>
    </w:p>
    <w:p>
      <w:pPr>
        <w:framePr w:w="1718" w:x="1798"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城市维护建设税</w:t>
      </w:r>
    </w:p>
    <w:p>
      <w:pPr>
        <w:framePr w:w="1718" w:x="1798" w:y="18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房产税</w:t>
      </w:r>
    </w:p>
    <w:p>
      <w:pPr>
        <w:framePr w:w="1507" w:x="6337"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4,960,028.59</w:t>
      </w:r>
    </w:p>
    <w:p>
      <w:pPr>
        <w:framePr w:w="1507" w:x="9372"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1,847,018.88</w:t>
      </w:r>
    </w:p>
    <w:p>
      <w:pPr>
        <w:framePr w:w="1507" w:x="9372" w:y="1829"/>
        <w:widowControl w:val="0"/>
        <w:autoSpaceDE w:val="0"/>
        <w:autoSpaceDN w:val="0"/>
        <w:spacing w:before="72"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79,758.77</w:t>
      </w:r>
    </w:p>
    <w:p>
      <w:pPr>
        <w:framePr w:w="1190" w:x="6652"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73,221.62</w:t>
      </w:r>
    </w:p>
    <w:p>
      <w:pPr>
        <w:framePr w:w="1296" w:x="6546" w:y="2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332,861.72</w:t>
      </w:r>
    </w:p>
    <w:p>
      <w:pPr>
        <w:framePr w:w="1296" w:x="6546" w:y="26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393,814.30</w:t>
      </w:r>
    </w:p>
    <w:p>
      <w:pPr>
        <w:framePr w:w="1296" w:x="6546" w:y="2676"/>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94,758.09</w:t>
      </w:r>
    </w:p>
    <w:p>
      <w:pPr>
        <w:framePr w:w="1507" w:x="9372" w:y="2676"/>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273,673.49</w:t>
      </w:r>
    </w:p>
    <w:p>
      <w:pPr>
        <w:framePr w:w="1507" w:x="9372" w:y="2676"/>
        <w:widowControl w:val="0"/>
        <w:autoSpaceDE w:val="0"/>
        <w:autoSpaceDN w:val="0"/>
        <w:spacing w:before="72"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425,801.88</w:t>
      </w:r>
    </w:p>
    <w:p>
      <w:pPr>
        <w:framePr w:w="1507" w:x="9372" w:y="2676"/>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145,968.28</w:t>
      </w:r>
    </w:p>
    <w:p>
      <w:pPr>
        <w:framePr w:w="1507" w:x="9372" w:y="26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2,772,221.30</w:t>
      </w:r>
    </w:p>
    <w:p>
      <w:pPr>
        <w:framePr w:w="1296"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土地使用税</w:t>
      </w:r>
    </w:p>
    <w:p>
      <w:pPr>
        <w:framePr w:w="1296" w:x="1798" w:y="29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2993"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337"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5,854,684.32</w:t>
      </w:r>
    </w:p>
    <w:p>
      <w:pPr>
        <w:framePr w:w="1296" w:x="1798" w:y="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407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00" w:x="1798" w:y="50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其他应付款</w:t>
      </w:r>
    </w:p>
    <w:p>
      <w:pPr>
        <w:framePr w:w="1800" w:x="1798" w:y="5091"/>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5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029"/>
        <w:widowControl w:val="0"/>
        <w:autoSpaceDE w:val="0"/>
        <w:autoSpaceDN w:val="0"/>
        <w:spacing w:before="70" w:line="211" w:lineRule="exact"/>
        <w:ind w:left="55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132" w:y="6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6008" w:y="63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1798" w:y="6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应付利息</w:t>
      </w:r>
    </w:p>
    <w:p>
      <w:pPr>
        <w:framePr w:w="1296" w:x="1798" w:y="65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应付股利</w:t>
      </w:r>
    </w:p>
    <w:p>
      <w:pPr>
        <w:framePr w:w="1296" w:x="1798" w:y="65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507" w:x="6493" w:y="71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2,209,870.29</w:t>
      </w:r>
    </w:p>
    <w:p>
      <w:pPr>
        <w:framePr w:w="1507" w:x="6493" w:y="71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2,209,870.29</w:t>
      </w:r>
    </w:p>
    <w:p>
      <w:pPr>
        <w:framePr w:w="1507" w:x="9372" w:y="71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1507" w:x="9372" w:y="715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662" w:x="3132" w:y="74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77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772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085" w:x="1798" w:y="86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应付利息</w:t>
      </w:r>
    </w:p>
    <w:p>
      <w:pPr>
        <w:framePr w:w="1817" w:x="1798" w:y="8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95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应付股利</w:t>
      </w:r>
    </w:p>
    <w:p>
      <w:pPr>
        <w:framePr w:w="1817" w:x="1798" w:y="9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3298" w:x="1798" w:y="109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按款项性质列示其他应付款</w:t>
      </w:r>
    </w:p>
    <w:p>
      <w:pPr>
        <w:framePr w:w="3298" w:x="1798" w:y="1094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684"/>
        <w:widowControl w:val="0"/>
        <w:autoSpaceDE w:val="0"/>
        <w:autoSpaceDN w:val="0"/>
        <w:spacing w:before="72" w:line="211" w:lineRule="exact"/>
        <w:ind w:left="43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805" w:x="1798" w:y="11967"/>
        <w:widowControl w:val="0"/>
        <w:autoSpaceDE w:val="0"/>
        <w:autoSpaceDN w:val="0"/>
        <w:spacing w:line="211" w:lineRule="exact"/>
        <w:ind w:left="114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05" w:x="1798" w:y="1196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押金及保证金</w:t>
      </w:r>
    </w:p>
    <w:p>
      <w:pPr>
        <w:framePr w:w="1805" w:x="1798" w:y="1196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预提费用</w:t>
      </w:r>
    </w:p>
    <w:p>
      <w:pPr>
        <w:framePr w:w="1085" w:x="5694" w:y="119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6246" w:y="12248"/>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129,564.09</w:t>
      </w:r>
    </w:p>
    <w:p>
      <w:pPr>
        <w:framePr w:w="1507" w:x="6246" w:y="1224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1,407,237.20</w:t>
      </w:r>
    </w:p>
    <w:p>
      <w:pPr>
        <w:framePr w:w="1507" w:x="6246" w:y="12248"/>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673,069.00</w:t>
      </w:r>
    </w:p>
    <w:p>
      <w:pPr>
        <w:framePr w:w="1296" w:x="9580" w:y="122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460,155.12</w:t>
      </w:r>
    </w:p>
    <w:p>
      <w:pPr>
        <w:framePr w:w="1507" w:x="9372" w:y="1253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1,805,026.00</w:t>
      </w:r>
    </w:p>
    <w:p>
      <w:pPr>
        <w:framePr w:w="1507" w:x="9372" w:y="12532"/>
        <w:widowControl w:val="0"/>
        <w:autoSpaceDE w:val="0"/>
        <w:autoSpaceDN w:val="0"/>
        <w:spacing w:before="70"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402,243.42</w:t>
      </w:r>
    </w:p>
    <w:p>
      <w:pPr>
        <w:framePr w:w="1805" w:x="1798" w:y="128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往来款项及其他</w:t>
      </w:r>
    </w:p>
    <w:p>
      <w:pPr>
        <w:framePr w:w="1805" w:x="1798" w:y="12812"/>
        <w:widowControl w:val="0"/>
        <w:autoSpaceDE w:val="0"/>
        <w:autoSpaceDN w:val="0"/>
        <w:spacing w:before="72" w:line="211" w:lineRule="exact"/>
        <w:ind w:left="114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246" w:y="130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2,209,870.29</w:t>
      </w:r>
    </w:p>
    <w:p>
      <w:pPr>
        <w:framePr w:w="1507" w:x="9372" w:y="130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2,667,424.54</w:t>
      </w:r>
    </w:p>
    <w:p>
      <w:pPr>
        <w:framePr w:w="3739" w:x="1798" w:y="13420"/>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账龄超过</w:t>
      </w:r>
      <w:r>
        <w:rPr>
          <w:rFonts w:eastAsiaTheme="minorEastAsia" w:hAnsiTheme="minorHAnsi" w:cstheme="minorBidi"/>
          <w:color w:val="000000"/>
          <w:sz w:val="21"/>
          <w:szCs w:val="22"/>
          <w:lang w:val="en-US" w:eastAsia="en-US" w:bidi="ar-SA"/>
        </w:rPr>
        <w:t xml:space="preserve"> </w:t>
      </w:r>
      <w:r>
        <w:rPr>
          <w:rFonts w:ascii="Cambria" w:eastAsiaTheme="minorEastAsia" w:hAnsiTheme="minorHAnsi" w:cstheme="minorBidi"/>
          <w:b/>
          <w:color w:val="000000"/>
          <w:sz w:val="21"/>
          <w:szCs w:val="22"/>
          <w:lang w:val="en-US" w:eastAsia="en-US" w:bidi="ar-SA"/>
        </w:rPr>
        <w:t>1</w:t>
      </w:r>
      <w:r>
        <w:rPr>
          <w:rFonts w:ascii="Cambria" w:eastAsiaTheme="minorEastAsia" w:hAnsiTheme="minorHAnsi" w:cstheme="minorBidi"/>
          <w:b/>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年的重要其他应付款</w:t>
      </w:r>
    </w:p>
    <w:p>
      <w:pPr>
        <w:framePr w:w="1817" w:x="1798" w:y="139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90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66" type="#_x0000_t75" style="width:445.6pt;height:2.7pt;margin-top:53.65pt;margin-left:87.45pt;mso-position-horizontal-relative:page;mso-position-vertical-relative:page;position:absolute;z-index:-251324416">
            <v:imagedata r:id="rId204" o:title=""/>
          </v:shape>
        </w:pict>
      </w:r>
      <w:r>
        <w:rPr>
          <w:noProof/>
        </w:rPr>
        <w:pict>
          <v:shape id="_x0000_s1267" type="#_x0000_t75" style="width:447.3pt;height:115.55pt;margin-top:74.3pt;margin-left:87.1pt;mso-position-horizontal-relative:page;mso-position-vertical-relative:page;position:absolute;z-index:-251364352">
            <v:imagedata r:id="rId205" o:title=""/>
          </v:shape>
        </w:pict>
      </w:r>
      <w:r>
        <w:rPr>
          <w:noProof/>
        </w:rPr>
        <w:pict>
          <v:shape id="_x0000_s1268" type="#_x0000_t75" style="width:454.95pt;height:73.15pt;margin-top:312.55pt;margin-left:83.25pt;mso-position-horizontal-relative:page;mso-position-vertical-relative:page;position:absolute;z-index:-251433984">
            <v:imagedata r:id="rId206" o:title=""/>
          </v:shape>
        </w:pict>
      </w:r>
      <w:r>
        <w:rPr>
          <w:noProof/>
        </w:rPr>
        <w:pict>
          <v:shape id="_x0000_s1269" type="#_x0000_t75" style="width:454.95pt;height:73.2pt;margin-top:595.25pt;margin-left:83.25pt;mso-position-horizontal-relative:page;mso-position-vertical-relative:page;position:absolute;z-index:-251543552">
            <v:imagedata r:id="rId207" o:title=""/>
          </v:shape>
        </w:pict>
      </w:r>
    </w:p>
    <w:p>
      <w:pPr>
        <w:spacing w:line="0" w:lineRule="atLeast"/>
        <w:rPr>
          <w:rFonts w:ascii="Arial" w:eastAsiaTheme="minorEastAsia" w:hAnsiTheme="minorHAnsi" w:cstheme="minorBidi"/>
          <w:color w:val="FF0000"/>
          <w:sz w:val="2"/>
          <w:szCs w:val="22"/>
          <w:lang w:val="en-US" w:eastAsia="en-US" w:bidi="ar-SA"/>
        </w:rPr>
      </w:pPr>
      <w:bookmarkStart w:id="113" w:name="br1_112"/>
      <w:bookmarkEnd w:id="11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01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持有待售负债</w:t>
      </w:r>
    </w:p>
    <w:p>
      <w:pPr>
        <w:framePr w:w="1817" w:x="1798" w:y="2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14" w:x="179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pacing w:val="1"/>
          <w:sz w:val="21"/>
          <w:szCs w:val="22"/>
          <w:lang w:val="en-US" w:eastAsia="en-US" w:bidi="ar-SA"/>
        </w:rPr>
        <w:t>年内到期的非流动负债</w:t>
      </w:r>
    </w:p>
    <w:p>
      <w:pPr>
        <w:framePr w:w="1817"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3350"/>
        <w:widowControl w:val="0"/>
        <w:autoSpaceDE w:val="0"/>
        <w:autoSpaceDN w:val="0"/>
        <w:spacing w:before="72" w:line="211" w:lineRule="exact"/>
        <w:ind w:left="44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2933" w:y="3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694" w:y="36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501" w:x="1798" w:y="39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年内到期的长期借款</w:t>
      </w:r>
    </w:p>
    <w:p>
      <w:pPr>
        <w:framePr w:w="2501" w:x="1798" w:y="39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年内到期的应付债券</w:t>
      </w:r>
    </w:p>
    <w:p>
      <w:pPr>
        <w:framePr w:w="2501" w:x="1798" w:y="391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年内到期的长期应付款</w:t>
      </w:r>
    </w:p>
    <w:p>
      <w:pPr>
        <w:framePr w:w="2501" w:x="1798" w:y="39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年内到期的租赁负债</w:t>
      </w:r>
    </w:p>
    <w:p>
      <w:pPr>
        <w:framePr w:w="2501" w:x="1798" w:y="3917"/>
        <w:widowControl w:val="0"/>
        <w:autoSpaceDE w:val="0"/>
        <w:autoSpaceDN w:val="0"/>
        <w:spacing w:before="72" w:line="211" w:lineRule="exact"/>
        <w:ind w:left="113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159" w:y="39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12,250,000.00</w:t>
      </w:r>
    </w:p>
    <w:p>
      <w:pPr>
        <w:framePr w:w="1613" w:x="9266" w:y="39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613" w:x="6159" w:y="50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12,250,000.00</w:t>
      </w:r>
    </w:p>
    <w:p>
      <w:pPr>
        <w:framePr w:w="1613" w:x="9266" w:y="504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23,250,000.00</w:t>
      </w:r>
    </w:p>
    <w:p>
      <w:pPr>
        <w:framePr w:w="1296" w:x="1798" w:y="54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5448"/>
        <w:widowControl w:val="0"/>
        <w:autoSpaceDE w:val="0"/>
        <w:autoSpaceDN w:val="0"/>
        <w:spacing w:before="10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011" w:x="1798" w:y="63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其他流动负债</w:t>
      </w:r>
    </w:p>
    <w:p>
      <w:pPr>
        <w:framePr w:w="1817" w:x="1798" w:y="6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74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长期借款</w:t>
      </w:r>
    </w:p>
    <w:p>
      <w:pPr>
        <w:framePr w:w="2138" w:x="1798" w:y="7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长期借款分类</w:t>
      </w:r>
    </w:p>
    <w:p>
      <w:pPr>
        <w:framePr w:w="2138" w:x="1798" w:y="7908"/>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86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8648"/>
        <w:widowControl w:val="0"/>
        <w:autoSpaceDE w:val="0"/>
        <w:autoSpaceDN w:val="0"/>
        <w:spacing w:before="72" w:line="211" w:lineRule="exact"/>
        <w:ind w:left="47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920" w:x="1798" w:y="8931"/>
        <w:widowControl w:val="0"/>
        <w:autoSpaceDE w:val="0"/>
        <w:autoSpaceDN w:val="0"/>
        <w:spacing w:line="211" w:lineRule="exact"/>
        <w:ind w:left="125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20" w:x="1798" w:y="89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质押借款</w:t>
      </w:r>
    </w:p>
    <w:p>
      <w:pPr>
        <w:framePr w:w="1920" w:x="1798" w:y="893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抵押借款</w:t>
      </w:r>
    </w:p>
    <w:p>
      <w:pPr>
        <w:framePr w:w="1920" w:x="1798" w:y="89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保证借款</w:t>
      </w:r>
    </w:p>
    <w:p>
      <w:pPr>
        <w:framePr w:w="1920" w:x="1798" w:y="893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信用借款</w:t>
      </w:r>
    </w:p>
    <w:p>
      <w:pPr>
        <w:framePr w:w="1920" w:x="1798" w:y="8931"/>
        <w:widowControl w:val="0"/>
        <w:autoSpaceDE w:val="0"/>
        <w:autoSpaceDN w:val="0"/>
        <w:spacing w:before="70" w:line="211" w:lineRule="exact"/>
        <w:ind w:left="125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5845" w:y="89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6191" w:y="94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41,250,000.00</w:t>
      </w:r>
    </w:p>
    <w:p>
      <w:pPr>
        <w:framePr w:w="1718" w:x="8982" w:y="94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718" w:x="8982" w:y="9495"/>
        <w:widowControl w:val="0"/>
        <w:autoSpaceDE w:val="0"/>
        <w:autoSpaceDN w:val="0"/>
        <w:spacing w:before="636"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126,750,000.00</w:t>
      </w:r>
    </w:p>
    <w:p>
      <w:pPr>
        <w:framePr w:w="1613" w:x="6191" w:y="100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16,000,000.00</w:t>
      </w:r>
    </w:p>
    <w:p>
      <w:pPr>
        <w:framePr w:w="1613" w:x="6191" w:y="1006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57,250,000.00</w:t>
      </w:r>
    </w:p>
    <w:p>
      <w:pPr>
        <w:framePr w:w="2352" w:x="1798" w:y="106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长期借款分类的说明：</w:t>
      </w:r>
    </w:p>
    <w:p>
      <w:pPr>
        <w:framePr w:w="2352" w:x="1798" w:y="10685"/>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774" w:x="1798" w:y="115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其他说明，包括利率区间：</w:t>
      </w:r>
    </w:p>
    <w:p>
      <w:pPr>
        <w:framePr w:w="2774" w:x="1798" w:y="1156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25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应付债券</w:t>
      </w:r>
    </w:p>
    <w:p>
      <w:pPr>
        <w:framePr w:w="1817" w:x="1798" w:y="12575"/>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应付债券</w:t>
      </w:r>
    </w:p>
    <w:p>
      <w:pPr>
        <w:framePr w:w="1817" w:x="1798" w:y="12575"/>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502" w:x="1798" w:y="139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应付债券的增减变动（不包括划分为金融负债的优先股、永续债等其他金融工具）</w:t>
      </w:r>
    </w:p>
    <w:p>
      <w:pPr>
        <w:framePr w:w="1817" w:x="1798" w:y="144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0" type="#_x0000_t75" style="width:445.6pt;height:2.7pt;margin-top:53.65pt;margin-left:87.45pt;mso-position-horizontal-relative:page;mso-position-vertical-relative:page;position:absolute;z-index:-251363328">
            <v:imagedata r:id="rId208" o:title=""/>
          </v:shape>
        </w:pict>
      </w:r>
      <w:r>
        <w:rPr>
          <w:noProof/>
        </w:rPr>
        <w:pict>
          <v:shape id="_x0000_s1271" type="#_x0000_t75" style="width:454.95pt;height:87.25pt;margin-top:178.7pt;margin-left:83.25pt;mso-position-horizontal-relative:page;mso-position-vertical-relative:page;position:absolute;z-index:-251432960">
            <v:imagedata r:id="rId209" o:title=""/>
          </v:shape>
        </w:pict>
      </w:r>
      <w:r>
        <w:rPr>
          <w:noProof/>
        </w:rPr>
        <w:pict>
          <v:shape id="_x0000_s1272" type="#_x0000_t75" style="width:447.3pt;height:87.2pt;margin-top:443.6pt;margin-left:87.1pt;mso-position-horizontal-relative:page;mso-position-vertical-relative:page;position:absolute;z-index:-251542528">
            <v:imagedata r:id="rId210" o:title=""/>
          </v:shape>
        </w:pict>
      </w:r>
    </w:p>
    <w:p>
      <w:pPr>
        <w:spacing w:line="0" w:lineRule="atLeast"/>
        <w:rPr>
          <w:rFonts w:ascii="Arial" w:eastAsiaTheme="minorEastAsia" w:hAnsiTheme="minorHAnsi" w:cstheme="minorBidi"/>
          <w:color w:val="FF0000"/>
          <w:sz w:val="2"/>
          <w:szCs w:val="22"/>
          <w:lang w:val="en-US" w:eastAsia="en-US" w:bidi="ar-SA"/>
        </w:rPr>
      </w:pPr>
      <w:bookmarkStart w:id="114" w:name="br1_113"/>
      <w:bookmarkEnd w:id="11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92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可转换公司债券的转股条件、转股时间说明</w:t>
      </w:r>
    </w:p>
    <w:p>
      <w:pPr>
        <w:framePr w:w="1817" w:x="1798" w:y="2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86" w:x="179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划分为金融负债的其他金融工具说明</w:t>
      </w:r>
    </w:p>
    <w:p>
      <w:pPr>
        <w:framePr w:w="5520"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期末发行在外的优先股、永续债等其他金融工具基本情况</w:t>
      </w:r>
    </w:p>
    <w:p>
      <w:pPr>
        <w:framePr w:w="5520" w:x="1798" w:y="307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4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期末发行在外的优先股、永续债等金融工具变动情况表</w:t>
      </w:r>
    </w:p>
    <w:p>
      <w:pPr>
        <w:framePr w:w="5309" w:x="1798" w:y="4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42" w:x="1798" w:y="4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其他金融工具划分为金融负债的依据说明</w:t>
      </w:r>
    </w:p>
    <w:p>
      <w:pPr>
        <w:framePr w:w="4042" w:x="1798" w:y="4908"/>
        <w:widowControl w:val="0"/>
        <w:autoSpaceDE w:val="0"/>
        <w:autoSpaceDN w:val="0"/>
        <w:spacing w:before="2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5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61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6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租赁负债</w:t>
      </w:r>
    </w:p>
    <w:p>
      <w:pPr>
        <w:framePr w:w="1817" w:x="1798" w:y="70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00" w:x="1798" w:y="77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长期应付款</w:t>
      </w:r>
    </w:p>
    <w:p>
      <w:pPr>
        <w:framePr w:w="1800" w:x="1798" w:y="7704"/>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83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8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长期应付款</w:t>
      </w:r>
    </w:p>
    <w:p>
      <w:pPr>
        <w:framePr w:w="1817" w:x="1798" w:y="94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0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专项应付款</w:t>
      </w:r>
    </w:p>
    <w:p>
      <w:pPr>
        <w:framePr w:w="1817" w:x="1798" w:y="105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34" w:x="1798" w:y="111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长期应付职工薪酬</w:t>
      </w:r>
    </w:p>
    <w:p>
      <w:pPr>
        <w:framePr w:w="1817" w:x="1798" w:y="115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2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预计负债</w:t>
      </w:r>
    </w:p>
    <w:p>
      <w:pPr>
        <w:framePr w:w="1817" w:x="1798" w:y="126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9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2935"/>
        <w:widowControl w:val="0"/>
        <w:autoSpaceDE w:val="0"/>
        <w:autoSpaceDN w:val="0"/>
        <w:spacing w:before="72" w:line="211" w:lineRule="exact"/>
        <w:ind w:left="8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形成原因</w:t>
      </w:r>
    </w:p>
    <w:p>
      <w:pPr>
        <w:framePr w:w="1507" w:x="1798" w:y="13218"/>
        <w:widowControl w:val="0"/>
        <w:autoSpaceDE w:val="0"/>
        <w:autoSpaceDN w:val="0"/>
        <w:spacing w:line="211" w:lineRule="exact"/>
        <w:ind w:left="81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1798" w:y="1321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对外提供担保</w:t>
      </w:r>
    </w:p>
    <w:p>
      <w:pPr>
        <w:framePr w:w="1507" w:x="1798" w:y="1321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未决诉讼</w:t>
      </w:r>
    </w:p>
    <w:p>
      <w:pPr>
        <w:framePr w:w="1085" w:x="4681" w:y="13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906" w:y="132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1798" w:y="140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产品质量保证</w:t>
      </w:r>
    </w:p>
    <w:p>
      <w:pPr>
        <w:framePr w:w="1507" w:x="1798" w:y="1406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重组义务</w:t>
      </w:r>
    </w:p>
    <w:p>
      <w:pPr>
        <w:framePr w:w="1930" w:x="1798" w:y="14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待执行的亏损合同</w:t>
      </w:r>
    </w:p>
    <w:p>
      <w:pPr>
        <w:framePr w:w="1930" w:x="1798" w:y="146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应付退货款</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3" type="#_x0000_t75" style="width:445.6pt;height:2.7pt;margin-top:53.65pt;margin-left:87.45pt;mso-position-horizontal-relative:page;mso-position-vertical-relative:page;position:absolute;z-index:-251431936">
            <v:imagedata r:id="rId211" o:title=""/>
          </v:shape>
        </w:pict>
      </w:r>
      <w:r>
        <w:rPr>
          <w:noProof/>
        </w:rPr>
        <w:pict>
          <v:shape id="_x0000_s1274" type="#_x0000_t75" style="width:447.3pt;height:101.25pt;margin-top:657.95pt;margin-left:87.1pt;mso-position-horizontal-relative:page;mso-position-vertical-relative:page;position:absolute;z-index:-251541504">
            <v:imagedata r:id="rId212" o:title=""/>
          </v:shape>
        </w:pict>
      </w:r>
    </w:p>
    <w:p>
      <w:pPr>
        <w:spacing w:line="0" w:lineRule="atLeast"/>
        <w:rPr>
          <w:rFonts w:ascii="Arial" w:eastAsiaTheme="minorEastAsia" w:hAnsiTheme="minorHAnsi" w:cstheme="minorBidi"/>
          <w:color w:val="FF0000"/>
          <w:sz w:val="2"/>
          <w:szCs w:val="22"/>
          <w:lang w:val="en-US" w:eastAsia="en-US" w:bidi="ar-SA"/>
        </w:rPr>
      </w:pPr>
      <w:bookmarkStart w:id="115" w:name="br1_114"/>
      <w:bookmarkEnd w:id="11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62"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2141"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危险废弃物转移支出</w:t>
      </w:r>
    </w:p>
    <w:p>
      <w:pPr>
        <w:framePr w:w="2141" w:x="1798" w:y="1829"/>
        <w:widowControl w:val="0"/>
        <w:autoSpaceDE w:val="0"/>
        <w:autoSpaceDN w:val="0"/>
        <w:spacing w:before="72" w:line="211" w:lineRule="exact"/>
        <w:ind w:left="81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818"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4818"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12,170,623.57</w:t>
      </w:r>
    </w:p>
    <w:p>
      <w:pPr>
        <w:framePr w:w="1613" w:x="7043" w:y="18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10,614,470.38</w:t>
      </w:r>
    </w:p>
    <w:p>
      <w:pPr>
        <w:framePr w:w="1613" w:x="7043" w:y="182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10,614,470.38</w:t>
      </w:r>
    </w:p>
    <w:p>
      <w:pPr>
        <w:framePr w:w="346" w:x="9496" w:y="21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5731" w:x="1798" w:y="2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其他说明，包括重要预计负债的相关重要假设、估计说明：</w:t>
      </w:r>
    </w:p>
    <w:p>
      <w:pPr>
        <w:framePr w:w="9068" w:x="1798" w:y="2923"/>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本公司及潍坊先达按照危险废弃物处置方案，预提的废盐与废渣的处置费用，具体预提方法</w:t>
      </w:r>
    </w:p>
    <w:p>
      <w:pPr>
        <w:framePr w:w="9068" w:x="1798" w:y="292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按截止报告期期末预计处置数量及处置单价计算。</w:t>
      </w:r>
    </w:p>
    <w:p>
      <w:pPr>
        <w:framePr w:w="1589" w:x="1798" w:y="3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递延收益</w:t>
      </w:r>
    </w:p>
    <w:p>
      <w:pPr>
        <w:framePr w:w="1507" w:x="1798" w:y="41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递延收益情况</w:t>
      </w:r>
    </w:p>
    <w:p>
      <w:pPr>
        <w:framePr w:w="1817" w:x="1798" w:y="44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46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单位：元</w:t>
      </w:r>
      <w:r>
        <w:rPr>
          <w:rFonts w:eastAsiaTheme="minorEastAsia" w:hAnsiTheme="minorHAnsi" w:cstheme="minorBidi"/>
          <w:color w:val="000000"/>
          <w:spacing w:val="157"/>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307"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3569"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019"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6467"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7933"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9458" w:y="49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形成原因</w:t>
      </w:r>
    </w:p>
    <w:p>
      <w:pPr>
        <w:framePr w:w="1171" w:x="1798" w:y="5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w:t>
      </w:r>
    </w:p>
    <w:p>
      <w:pPr>
        <w:framePr w:w="1171" w:x="1798" w:y="5304"/>
        <w:widowControl w:val="0"/>
        <w:autoSpaceDE w:val="0"/>
        <w:autoSpaceDN w:val="0"/>
        <w:spacing w:before="72" w:line="211" w:lineRule="exact"/>
        <w:ind w:left="5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3298" w:y="53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613" w:x="3298" w:y="530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19,520,206.99</w:t>
      </w:r>
    </w:p>
    <w:p>
      <w:pPr>
        <w:framePr w:w="1296" w:x="5087" w:y="53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490,848.00</w:t>
      </w:r>
    </w:p>
    <w:p>
      <w:pPr>
        <w:framePr w:w="1296" w:x="5087" w:y="530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490,848.00</w:t>
      </w:r>
    </w:p>
    <w:p>
      <w:pPr>
        <w:framePr w:w="2782" w:x="6527" w:y="53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853,727.79</w:t>
      </w:r>
      <w:r>
        <w:rPr>
          <w:rFonts w:ascii="SimSun"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19,157,327.20</w:t>
      </w:r>
    </w:p>
    <w:p>
      <w:pPr>
        <w:framePr w:w="2782" w:x="6527" w:y="530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853,727.79</w:t>
      </w:r>
      <w:r>
        <w:rPr>
          <w:rFonts w:ascii="SimSun"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19,157,327.20</w:t>
      </w:r>
    </w:p>
    <w:p>
      <w:pPr>
        <w:framePr w:w="346" w:x="9825" w:y="55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352" w:x="1798" w:y="61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涉及政府补助的项目：</w:t>
      </w:r>
    </w:p>
    <w:p>
      <w:pPr>
        <w:framePr w:w="2352" w:x="1798" w:y="614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18" w:x="8320" w:y="6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3418" w:x="8320" w:y="6687"/>
        <w:widowControl w:val="0"/>
        <w:autoSpaceDE w:val="0"/>
        <w:autoSpaceDN w:val="0"/>
        <w:spacing w:before="70" w:line="211" w:lineRule="exact"/>
        <w:ind w:left="212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与资产相关</w:t>
      </w:r>
    </w:p>
    <w:p>
      <w:pPr>
        <w:framePr w:w="1085" w:x="6090" w:y="6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本期计入</w:t>
      </w:r>
    </w:p>
    <w:p>
      <w:pPr>
        <w:framePr w:w="1296" w:x="4950" w:y="7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本期新增补</w:t>
      </w:r>
    </w:p>
    <w:p>
      <w:pPr>
        <w:framePr w:w="1296" w:x="4950" w:y="7104"/>
        <w:widowControl w:val="0"/>
        <w:autoSpaceDE w:val="0"/>
        <w:autoSpaceDN w:val="0"/>
        <w:spacing w:before="6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助金额</w:t>
      </w:r>
    </w:p>
    <w:p>
      <w:pPr>
        <w:framePr w:w="2083" w:x="7019" w:y="71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本期计入其</w:t>
      </w:r>
      <w:r>
        <w:rPr>
          <w:rFonts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其他变</w:t>
      </w:r>
    </w:p>
    <w:p>
      <w:pPr>
        <w:framePr w:w="1085" w:x="1779" w:y="7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负债项目</w:t>
      </w:r>
    </w:p>
    <w:p>
      <w:pPr>
        <w:framePr w:w="1085" w:x="3785" w:y="7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6090" w:y="7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营业外收</w:t>
      </w:r>
    </w:p>
    <w:p>
      <w:pPr>
        <w:framePr w:w="1085" w:x="6090" w:y="7241"/>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入金额</w:t>
      </w:r>
    </w:p>
    <w:p>
      <w:pPr>
        <w:framePr w:w="2405" w:x="9280" w:y="7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r>
        <w:rPr>
          <w:rFonts w:eastAsiaTheme="minorEastAsia" w:hAnsiTheme="minorHAnsi" w:cstheme="minorBidi"/>
          <w:color w:val="000000"/>
          <w:spacing w:val="32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与收益相</w:t>
      </w:r>
    </w:p>
    <w:p>
      <w:pPr>
        <w:framePr w:w="2405" w:x="9280" w:y="7241"/>
        <w:widowControl w:val="0"/>
        <w:autoSpaceDE w:val="0"/>
        <w:autoSpaceDN w:val="0"/>
        <w:spacing w:before="60" w:line="211" w:lineRule="exact"/>
        <w:ind w:left="158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w:t>
      </w:r>
    </w:p>
    <w:p>
      <w:pPr>
        <w:framePr w:w="1296" w:x="7019" w:y="73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他收益金额</w:t>
      </w:r>
    </w:p>
    <w:p>
      <w:pPr>
        <w:framePr w:w="451" w:x="8437" w:y="73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w:t>
      </w:r>
    </w:p>
    <w:p>
      <w:pPr>
        <w:framePr w:w="4200" w:x="931" w:y="77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大气治理环保项目专项资金</w:t>
      </w:r>
      <w:r>
        <w:rPr>
          <w:rFonts w:eastAsiaTheme="minorEastAsia" w:hAnsiTheme="minorHAnsi" w:cstheme="minorBidi"/>
          <w:color w:val="000000"/>
          <w:spacing w:val="33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183,333.15</w:t>
      </w:r>
    </w:p>
    <w:p>
      <w:pPr>
        <w:framePr w:w="1296" w:x="7019" w:y="77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183,333.15</w:t>
      </w:r>
    </w:p>
    <w:p>
      <w:pPr>
        <w:framePr w:w="1296" w:x="7019" w:y="77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184,450.70</w:t>
      </w:r>
    </w:p>
    <w:p>
      <w:pPr>
        <w:framePr w:w="1296" w:x="7019" w:y="7795"/>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1296" w:x="10442" w:y="7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与资产相关</w:t>
      </w:r>
    </w:p>
    <w:p>
      <w:pPr>
        <w:framePr w:w="1930" w:x="931" w:y="8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稳定就业岗位补贴</w:t>
      </w:r>
    </w:p>
    <w:p>
      <w:pPr>
        <w:framePr w:w="1296" w:x="4950" w:y="80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404,388.00</w:t>
      </w:r>
    </w:p>
    <w:p>
      <w:pPr>
        <w:framePr w:w="1296" w:x="4950" w:y="8079"/>
        <w:widowControl w:val="0"/>
        <w:autoSpaceDE w:val="0"/>
        <w:autoSpaceDN w:val="0"/>
        <w:spacing w:before="636"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86,460.00</w:t>
      </w:r>
    </w:p>
    <w:p>
      <w:pPr>
        <w:framePr w:w="2402" w:x="9333" w:y="8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219,937.30</w:t>
      </w:r>
      <w:r>
        <w:rPr>
          <w:rFonts w:ascii="SimSun" w:hAnsi="SimSun" w:eastAsiaTheme="minorEastAsia" w:cs="SimSun"/>
          <w:color w:val="000000"/>
          <w:spacing w:val="1"/>
          <w:sz w:val="21"/>
          <w:szCs w:val="22"/>
          <w:lang w:val="en-US" w:eastAsia="en-US" w:bidi="ar-SA"/>
        </w:rPr>
        <w:t>与收益相关</w:t>
      </w:r>
    </w:p>
    <w:p>
      <w:pPr>
        <w:framePr w:w="2402" w:x="9333" w:y="8079"/>
        <w:widowControl w:val="0"/>
        <w:autoSpaceDE w:val="0"/>
        <w:autoSpaceDN w:val="0"/>
        <w:spacing w:before="70" w:line="211" w:lineRule="exact"/>
        <w:ind w:left="11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与收益相关</w:t>
      </w:r>
    </w:p>
    <w:p>
      <w:pPr>
        <w:framePr w:w="1507" w:x="931" w:y="83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工会回拨经费</w:t>
      </w:r>
    </w:p>
    <w:p>
      <w:pPr>
        <w:framePr w:w="1507" w:x="931" w:y="83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喹草酮项目</w:t>
      </w:r>
    </w:p>
    <w:p>
      <w:pPr>
        <w:framePr w:w="1085" w:x="4050" w:y="83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1296" w:x="3838" w:y="8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380,272.56</w:t>
      </w:r>
    </w:p>
    <w:p>
      <w:pPr>
        <w:framePr w:w="1296" w:x="7019" w:y="864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380,272.56</w:t>
      </w:r>
    </w:p>
    <w:p>
      <w:pPr>
        <w:framePr w:w="1296" w:x="7019" w:y="864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86,460.00</w:t>
      </w:r>
    </w:p>
    <w:p>
      <w:pPr>
        <w:framePr w:w="1296" w:x="7019" w:y="864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12,671.16</w:t>
      </w:r>
    </w:p>
    <w:p>
      <w:pPr>
        <w:framePr w:w="1296" w:x="10442" w:y="86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与资产相关</w:t>
      </w:r>
    </w:p>
    <w:p>
      <w:pPr>
        <w:framePr w:w="1930" w:x="931" w:y="89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出口信用保险补助</w:t>
      </w:r>
    </w:p>
    <w:p>
      <w:pPr>
        <w:framePr w:w="1930" w:x="931" w:y="892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土地返还款</w:t>
      </w:r>
    </w:p>
    <w:p>
      <w:pPr>
        <w:framePr w:w="1296" w:x="10442" w:y="89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与收益有关</w:t>
      </w:r>
    </w:p>
    <w:p>
      <w:pPr>
        <w:framePr w:w="1507" w:x="3629" w:y="920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1,640,576.46</w:t>
      </w:r>
    </w:p>
    <w:p>
      <w:pPr>
        <w:framePr w:w="2717" w:x="9018" w:y="9207"/>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1,627,905.30</w:t>
      </w:r>
      <w:r>
        <w:rPr>
          <w:rFonts w:ascii="SimSun" w:hAnsi="SimSun" w:eastAsiaTheme="minorEastAsia" w:cs="SimSun"/>
          <w:color w:val="000000"/>
          <w:spacing w:val="1"/>
          <w:sz w:val="21"/>
          <w:szCs w:val="22"/>
          <w:lang w:val="en-US" w:eastAsia="en-US" w:bidi="ar-SA"/>
        </w:rPr>
        <w:t>与资产相关</w:t>
      </w:r>
    </w:p>
    <w:p>
      <w:pPr>
        <w:framePr w:w="2717" w:x="9018" w:y="9207"/>
        <w:widowControl w:val="0"/>
        <w:autoSpaceDE w:val="0"/>
        <w:autoSpaceDN w:val="0"/>
        <w:spacing w:before="72"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1,300,000.00</w:t>
      </w:r>
      <w:r>
        <w:rPr>
          <w:rFonts w:ascii="SimSun" w:hAnsi="SimSun" w:eastAsiaTheme="minorEastAsia" w:cs="SimSun"/>
          <w:color w:val="000000"/>
          <w:spacing w:val="1"/>
          <w:sz w:val="21"/>
          <w:szCs w:val="22"/>
          <w:lang w:val="en-US" w:eastAsia="en-US" w:bidi="ar-SA"/>
        </w:rPr>
        <w:t>与收益相关</w:t>
      </w:r>
    </w:p>
    <w:p>
      <w:pPr>
        <w:framePr w:w="2717" w:x="9018" w:y="9207"/>
        <w:widowControl w:val="0"/>
        <w:autoSpaceDE w:val="0"/>
        <w:autoSpaceDN w:val="0"/>
        <w:spacing w:before="70" w:line="211" w:lineRule="exact"/>
        <w:ind w:left="52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9,484.60</w:t>
      </w:r>
      <w:r>
        <w:rPr>
          <w:rFonts w:ascii="SimSun" w:hAnsi="SimSun" w:eastAsiaTheme="minorEastAsia" w:cs="SimSun"/>
          <w:color w:val="000000"/>
          <w:spacing w:val="1"/>
          <w:sz w:val="21"/>
          <w:szCs w:val="22"/>
          <w:lang w:val="en-US" w:eastAsia="en-US" w:bidi="ar-SA"/>
        </w:rPr>
        <w:t>与资产相关</w:t>
      </w:r>
    </w:p>
    <w:p>
      <w:pPr>
        <w:framePr w:w="2717" w:x="9018" w:y="920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16,000,000.00</w:t>
      </w:r>
      <w:r>
        <w:rPr>
          <w:rFonts w:ascii="SimSun" w:hAnsi="SimSun" w:eastAsiaTheme="minorEastAsia" w:cs="SimSun"/>
          <w:color w:val="000000"/>
          <w:spacing w:val="1"/>
          <w:sz w:val="21"/>
          <w:szCs w:val="22"/>
          <w:lang w:val="en-US" w:eastAsia="en-US" w:bidi="ar-SA"/>
        </w:rPr>
        <w:t>与资产相关</w:t>
      </w:r>
    </w:p>
    <w:p>
      <w:pPr>
        <w:framePr w:w="2717" w:x="9018" w:y="920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19,157,327.20</w:t>
      </w:r>
    </w:p>
    <w:p>
      <w:pPr>
        <w:framePr w:w="5312" w:x="931" w:y="94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鸢都产业领军人才补助经费</w:t>
      </w:r>
      <w:r>
        <w:rPr>
          <w:rFonts w:eastAsiaTheme="minorEastAsia" w:hAnsiTheme="minorHAnsi" w:cstheme="minorBidi"/>
          <w:color w:val="000000"/>
          <w:spacing w:val="12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1,300,000.00</w:t>
      </w:r>
    </w:p>
    <w:p>
      <w:pPr>
        <w:framePr w:w="5312" w:x="931" w:y="9490"/>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农业局捐赠监管设备</w:t>
      </w:r>
      <w:r>
        <w:rPr>
          <w:rFonts w:eastAsiaTheme="minorEastAsia" w:hAnsiTheme="minorHAnsi" w:cstheme="minorBidi"/>
          <w:color w:val="000000"/>
          <w:spacing w:val="106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10,600.42</w:t>
      </w:r>
    </w:p>
    <w:p>
      <w:pPr>
        <w:framePr w:w="5312" w:x="931" w:y="949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沿海经济带建设补助资金</w:t>
      </w:r>
      <w:r>
        <w:rPr>
          <w:rFonts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16,000,000.00</w:t>
      </w:r>
    </w:p>
    <w:p>
      <w:pPr>
        <w:framePr w:w="5312" w:x="931" w:y="949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211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19,520,206.99</w:t>
      </w:r>
      <w:r>
        <w:rPr>
          <w:rFonts w:ascii="SimSun" w:eastAsiaTheme="minorEastAsia" w:hAnsiTheme="minorHAnsi" w:cstheme="minorBidi"/>
          <w:color w:val="000000"/>
          <w:spacing w:val="-4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490,848.00</w:t>
      </w:r>
    </w:p>
    <w:p>
      <w:pPr>
        <w:framePr w:w="1085" w:x="7230" w:y="97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1,115.82</w:t>
      </w:r>
    </w:p>
    <w:p>
      <w:pPr>
        <w:framePr w:w="1296" w:x="7019" w:y="103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853,727.79</w:t>
      </w:r>
    </w:p>
    <w:p>
      <w:pPr>
        <w:framePr w:w="1296" w:x="1798" w:y="109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12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11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其他非流动负债</w:t>
      </w:r>
    </w:p>
    <w:p>
      <w:pPr>
        <w:framePr w:w="1817" w:x="1798" w:y="124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166" w:x="1798" w:y="130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股本</w:t>
      </w:r>
    </w:p>
    <w:p>
      <w:pPr>
        <w:framePr w:w="1817" w:x="1798" w:y="134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7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763"/>
        <w:widowControl w:val="0"/>
        <w:autoSpaceDE w:val="0"/>
        <w:autoSpaceDN w:val="0"/>
        <w:spacing w:before="348" w:line="211" w:lineRule="exact"/>
        <w:ind w:left="142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458" w:x="5603" w:y="140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本次变动增减（</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、一）</w:t>
      </w:r>
    </w:p>
    <w:p>
      <w:pPr>
        <w:framePr w:w="1085" w:x="2835" w:y="14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4227" w:y="143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发行</w:t>
      </w:r>
    </w:p>
    <w:p>
      <w:pPr>
        <w:framePr w:w="662" w:x="4227" w:y="143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新股</w:t>
      </w:r>
    </w:p>
    <w:p>
      <w:pPr>
        <w:framePr w:w="874" w:x="5936" w:y="143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公积金</w:t>
      </w:r>
    </w:p>
    <w:p>
      <w:pPr>
        <w:framePr w:w="874" w:x="5936" w:y="14327"/>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转股</w:t>
      </w:r>
    </w:p>
    <w:p>
      <w:pPr>
        <w:framePr w:w="451" w:x="7218" w:y="143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w:t>
      </w:r>
    </w:p>
    <w:p>
      <w:pPr>
        <w:framePr w:w="451" w:x="7218" w:y="143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他</w:t>
      </w:r>
    </w:p>
    <w:p>
      <w:pPr>
        <w:framePr w:w="662" w:x="4907" w:y="144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送股</w:t>
      </w:r>
    </w:p>
    <w:p>
      <w:pPr>
        <w:framePr w:w="662" w:x="8248" w:y="144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小计</w:t>
      </w:r>
    </w:p>
    <w:p>
      <w:pPr>
        <w:framePr w:w="2834" w:x="1400" w:y="148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股份总数</w:t>
      </w:r>
      <w:r>
        <w:rPr>
          <w:rFonts w:eastAsiaTheme="minorEastAsia" w:hAnsiTheme="minorHAnsi" w:cstheme="minorBidi"/>
          <w:color w:val="000000"/>
          <w:spacing w:val="22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112,000,000.00</w:t>
      </w:r>
    </w:p>
    <w:p>
      <w:pPr>
        <w:framePr w:w="1613" w:x="5569" w:y="148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44,800,000.00</w:t>
      </w:r>
    </w:p>
    <w:p>
      <w:pPr>
        <w:framePr w:w="3308" w:x="7837" w:y="148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44,800,000.00</w:t>
      </w:r>
      <w:r>
        <w:rPr>
          <w:rFonts w:ascii="SimSun" w:eastAsiaTheme="minorEastAsia" w:hAnsiTheme="minorHAnsi" w:cstheme="minorBidi"/>
          <w:color w:val="000000"/>
          <w:spacing w:val="12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156,800,000.00</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75" type="#_x0000_t75" style="width:445.6pt;height:2.7pt;margin-top:53.65pt;margin-left:87.45pt;mso-position-horizontal-relative:page;mso-position-vertical-relative:page;position:absolute;z-index:-251307008">
            <v:imagedata r:id="rId213" o:title=""/>
          </v:shape>
        </w:pict>
      </w:r>
      <w:r>
        <w:rPr>
          <w:noProof/>
        </w:rPr>
        <w:pict>
          <v:shape id="_x0000_s1276" type="#_x0000_t75" style="width:447.3pt;height:45pt;margin-top:74.3pt;margin-left:87.1pt;mso-position-horizontal-relative:page;mso-position-vertical-relative:page;position:absolute;z-index:-251323392">
            <v:imagedata r:id="rId214" o:title=""/>
          </v:shape>
        </w:pict>
      </w:r>
      <w:r>
        <w:rPr>
          <w:noProof/>
        </w:rPr>
        <w:pict>
          <v:shape id="_x0000_s1277" type="#_x0000_t75" style="width:447.3pt;height:48pt;margin-top:244.95pt;margin-left:87.1pt;mso-position-horizontal-relative:page;mso-position-vertical-relative:page;position:absolute;z-index:-251362304">
            <v:imagedata r:id="rId215" o:title=""/>
          </v:shape>
        </w:pict>
      </w:r>
      <w:r>
        <w:rPr>
          <w:noProof/>
        </w:rPr>
        <w:pict>
          <v:shape id="_x0000_s1278" type="#_x0000_t75" style="width:533.95pt;height:185pt;margin-top:345.4pt;margin-left:43.75pt;mso-position-horizontal-relative:page;mso-position-vertical-relative:page;position:absolute;z-index:-251430912">
            <v:imagedata r:id="rId216" o:title=""/>
          </v:shape>
        </w:pict>
      </w:r>
      <w:r>
        <w:rPr>
          <w:noProof/>
        </w:rPr>
        <w:pict>
          <v:shape id="_x0000_s1279" type="#_x0000_t75" style="width:491.6pt;height:58.4pt;margin-top:699.35pt;margin-left:60.3pt;mso-position-horizontal-relative:page;mso-position-vertical-relative:page;position:absolute;z-index:-251540480">
            <v:imagedata r:id="rId217" o:title=""/>
          </v:shape>
        </w:pict>
      </w:r>
    </w:p>
    <w:p>
      <w:pPr>
        <w:spacing w:line="0" w:lineRule="atLeast"/>
        <w:rPr>
          <w:rFonts w:ascii="Arial" w:eastAsiaTheme="minorEastAsia" w:hAnsiTheme="minorHAnsi" w:cstheme="minorBidi"/>
          <w:color w:val="FF0000"/>
          <w:sz w:val="2"/>
          <w:szCs w:val="22"/>
          <w:lang w:val="en-US" w:eastAsia="en-US" w:bidi="ar-SA"/>
        </w:rPr>
      </w:pPr>
      <w:bookmarkStart w:id="116" w:name="br1_115"/>
      <w:bookmarkEnd w:id="11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29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9064" w:x="1798" w:y="186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年年度股东大会审议通过，以截至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112,000,000</w:t>
      </w:r>
      <w:r>
        <w:rPr>
          <w:rFonts w:ascii="SimSun" w:hAnsi="SimSun" w:eastAsiaTheme="minorEastAsia" w:cs="SimSun"/>
          <w:color w:val="000000"/>
          <w:sz w:val="21"/>
          <w:szCs w:val="22"/>
          <w:lang w:val="en-US" w:eastAsia="en-US" w:bidi="ar-SA"/>
        </w:rPr>
        <w:t>股为基数</w:t>
      </w:r>
    </w:p>
    <w:p>
      <w:pPr>
        <w:framePr w:w="9064" w:x="1798" w:y="18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向全体股东以资本公积转增股本方式每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44,800,000</w:t>
      </w:r>
      <w:r>
        <w:rPr>
          <w:rFonts w:ascii="SimSun" w:hAnsi="SimSun" w:eastAsiaTheme="minorEastAsia" w:cs="SimSun"/>
          <w:color w:val="000000"/>
          <w:sz w:val="21"/>
          <w:szCs w:val="22"/>
          <w:lang w:val="en-US" w:eastAsia="en-US" w:bidi="ar-SA"/>
        </w:rPr>
        <w:t>股，转增后公司总</w:t>
      </w:r>
    </w:p>
    <w:p>
      <w:pPr>
        <w:framePr w:w="9064" w:x="1798" w:y="18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156,800,000</w:t>
      </w:r>
      <w:r>
        <w:rPr>
          <w:rFonts w:ascii="SimSun" w:hAnsi="SimSun" w:eastAsiaTheme="minorEastAsia" w:cs="SimSun"/>
          <w:color w:val="000000"/>
          <w:spacing w:val="2"/>
          <w:sz w:val="21"/>
          <w:szCs w:val="22"/>
          <w:lang w:val="en-US" w:eastAsia="en-US" w:bidi="ar-SA"/>
        </w:rPr>
        <w:t>股。</w:t>
      </w:r>
    </w:p>
    <w:p>
      <w:pPr>
        <w:framePr w:w="2011" w:x="1798"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其他权益工具</w:t>
      </w:r>
    </w:p>
    <w:p>
      <w:pPr>
        <w:framePr w:w="5935" w:x="1798" w:y="36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期末发行在外的优先股、永续债等其他金融工具基本情况</w:t>
      </w:r>
    </w:p>
    <w:p>
      <w:pPr>
        <w:framePr w:w="5935" w:x="1798" w:y="3624"/>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24" w:x="1798" w:y="46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期末发行在外的优先股、永续债等金融工具变动情况表</w:t>
      </w:r>
    </w:p>
    <w:p>
      <w:pPr>
        <w:framePr w:w="1817" w:x="1798" w:y="51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421" w:x="1798" w:y="5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其他权益工具本期增减变动情况、变动原因说明，以及相关会计处理的依据：</w:t>
      </w:r>
    </w:p>
    <w:p>
      <w:pPr>
        <w:framePr w:w="7421" w:x="1798" w:y="5573"/>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190" w:x="1798" w:y="652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r>
        <w:rPr>
          <w:rFonts w:ascii="SimSun" w:eastAsiaTheme="minorEastAsia" w:hAnsiTheme="minorHAnsi" w:cstheme="minorBidi"/>
          <w:color w:val="000000"/>
          <w:sz w:val="21"/>
          <w:szCs w:val="22"/>
          <w:lang w:val="en-US" w:eastAsia="en-US" w:bidi="ar-SA"/>
        </w:rPr>
        <w:t>:</w:t>
      </w:r>
    </w:p>
    <w:p>
      <w:pPr>
        <w:framePr w:w="1817" w:x="1798" w:y="6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74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资本公积</w:t>
      </w:r>
    </w:p>
    <w:p>
      <w:pPr>
        <w:framePr w:w="1817" w:x="1798" w:y="77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80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2636"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4355"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917"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33"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340" w:y="8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4040" w:x="1798" w:y="85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资本溢价（股本溢价）</w:t>
      </w:r>
      <w:r>
        <w:rPr>
          <w:rFonts w:eastAsiaTheme="minorEastAsia" w:hAnsiTheme="minorHAnsi" w:cstheme="minorBidi"/>
          <w:color w:val="000000"/>
          <w:spacing w:val="17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445,021,562.58</w:t>
      </w:r>
    </w:p>
    <w:p>
      <w:pPr>
        <w:framePr w:w="3416" w:x="7461" w:y="85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44,800,000.00</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400,221,562.58</w:t>
      </w:r>
    </w:p>
    <w:p>
      <w:pPr>
        <w:framePr w:w="1507" w:x="1798" w:y="8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其他资本公积</w:t>
      </w:r>
    </w:p>
    <w:p>
      <w:pPr>
        <w:framePr w:w="662" w:x="2636" w:y="91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124" w:y="91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445,021,562.58</w:t>
      </w:r>
    </w:p>
    <w:p>
      <w:pPr>
        <w:framePr w:w="3416" w:x="7461" w:y="91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44,800,000.00</w:t>
      </w:r>
      <w:r>
        <w:rPr>
          <w:rFonts w:ascii="SimSun" w:eastAsiaTheme="minorEastAsia" w:hAnsiTheme="minorHAnsi" w:cstheme="minorBidi"/>
          <w:color w:val="000000"/>
          <w:spacing w:val="22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400,221,562.58</w:t>
      </w:r>
    </w:p>
    <w:p>
      <w:pPr>
        <w:framePr w:w="5098" w:x="1798" w:y="95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其他说明，包括本期增减变动情况、变动原因说明：</w:t>
      </w:r>
    </w:p>
    <w:p>
      <w:pPr>
        <w:framePr w:w="9064" w:x="1798" w:y="99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年年度股东大会审议通过，以截至</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z w:val="21"/>
          <w:szCs w:val="22"/>
          <w:lang w:val="en-US" w:eastAsia="en-US" w:bidi="ar-SA"/>
        </w:rPr>
        <w:t>日总股本</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112,000,000</w:t>
      </w:r>
      <w:r>
        <w:rPr>
          <w:rFonts w:ascii="SimSun" w:hAnsi="SimSun" w:eastAsiaTheme="minorEastAsia" w:cs="SimSun"/>
          <w:color w:val="000000"/>
          <w:sz w:val="21"/>
          <w:szCs w:val="22"/>
          <w:lang w:val="en-US" w:eastAsia="en-US" w:bidi="ar-SA"/>
        </w:rPr>
        <w:t>股为基数</w:t>
      </w:r>
    </w:p>
    <w:p>
      <w:pPr>
        <w:framePr w:w="9064" w:x="1798" w:y="9949"/>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向全体股东以资本公积转增股本方式每</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w:t>
      </w:r>
      <w:r>
        <w:rPr>
          <w:rFonts w:ascii="SimSun" w:hAnsi="SimSun" w:eastAsiaTheme="minorEastAsia" w:cs="SimSun"/>
          <w:color w:val="000000"/>
          <w:sz w:val="21"/>
          <w:szCs w:val="22"/>
          <w:lang w:val="en-US" w:eastAsia="en-US" w:bidi="ar-SA"/>
        </w:rPr>
        <w:t>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股，合计转增</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44,800,000</w:t>
      </w:r>
      <w:r>
        <w:rPr>
          <w:rFonts w:ascii="SimSun" w:hAnsi="SimSun" w:eastAsiaTheme="minorEastAsia" w:cs="SimSun"/>
          <w:color w:val="000000"/>
          <w:sz w:val="21"/>
          <w:szCs w:val="22"/>
          <w:lang w:val="en-US" w:eastAsia="en-US" w:bidi="ar-SA"/>
        </w:rPr>
        <w:t>股，转增后公司总</w:t>
      </w:r>
    </w:p>
    <w:p>
      <w:pPr>
        <w:framePr w:w="9064" w:x="1798" w:y="99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股本为</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156,800,000</w:t>
      </w:r>
      <w:r>
        <w:rPr>
          <w:rFonts w:ascii="SimSun" w:hAnsi="SimSun" w:eastAsiaTheme="minorEastAsia" w:cs="SimSun"/>
          <w:color w:val="000000"/>
          <w:spacing w:val="1"/>
          <w:sz w:val="21"/>
          <w:szCs w:val="22"/>
          <w:lang w:val="en-US" w:eastAsia="en-US" w:bidi="ar-SA"/>
        </w:rPr>
        <w:t>股。</w:t>
      </w:r>
    </w:p>
    <w:p>
      <w:pPr>
        <w:framePr w:w="1378" w:x="1798" w:y="112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库存股</w:t>
      </w:r>
    </w:p>
    <w:p>
      <w:pPr>
        <w:framePr w:w="1817" w:x="1798" w:y="117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2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其他综合收益</w:t>
      </w:r>
    </w:p>
    <w:p>
      <w:pPr>
        <w:framePr w:w="1817" w:x="1798" w:y="127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131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专项储备</w:t>
      </w:r>
    </w:p>
    <w:p>
      <w:pPr>
        <w:framePr w:w="1817" w:x="1798" w:y="135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8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296" w:x="1798" w:y="14132"/>
        <w:widowControl w:val="0"/>
        <w:autoSpaceDE w:val="0"/>
        <w:autoSpaceDN w:val="0"/>
        <w:spacing w:line="211" w:lineRule="exact"/>
        <w:ind w:left="60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1798" w:y="1413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安全生产费</w:t>
      </w:r>
    </w:p>
    <w:p>
      <w:pPr>
        <w:framePr w:w="1296" w:x="1798" w:y="14132"/>
        <w:widowControl w:val="0"/>
        <w:autoSpaceDE w:val="0"/>
        <w:autoSpaceDN w:val="0"/>
        <w:spacing w:before="70" w:line="211" w:lineRule="exact"/>
        <w:ind w:left="60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3923" w:y="14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13" w:y="14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23" w:y="14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340" w:y="141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3840" w:y="144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613" w:x="3840" w:y="1441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39,032,613.89</w:t>
      </w:r>
    </w:p>
    <w:p>
      <w:pPr>
        <w:framePr w:w="1507" w:x="5737" w:y="144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8,009,774.21</w:t>
      </w:r>
    </w:p>
    <w:p>
      <w:pPr>
        <w:framePr w:w="1507" w:x="5737" w:y="1441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8,009,774.21</w:t>
      </w:r>
    </w:p>
    <w:p>
      <w:pPr>
        <w:framePr w:w="1507" w:x="7569" w:y="144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3,550,558.76</w:t>
      </w:r>
    </w:p>
    <w:p>
      <w:pPr>
        <w:framePr w:w="1507" w:x="7569" w:y="1441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3,550,558.76</w:t>
      </w:r>
    </w:p>
    <w:p>
      <w:pPr>
        <w:framePr w:w="1613" w:x="9268" w:y="1441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43,491,829.34</w:t>
      </w:r>
    </w:p>
    <w:p>
      <w:pPr>
        <w:framePr w:w="1613" w:x="9268" w:y="1441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43,491,829.34</w:t>
      </w:r>
    </w:p>
    <w:p>
      <w:pPr>
        <w:framePr w:w="5098" w:x="1798" w:y="149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其他说明，包括本期增减变动情况、变动原因说明：</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0" type="#_x0000_t75" style="width:445.6pt;height:2.7pt;margin-top:53.65pt;margin-left:87.45pt;mso-position-horizontal-relative:page;mso-position-vertical-relative:page;position:absolute;z-index:-251361280">
            <v:imagedata r:id="rId218" o:title=""/>
          </v:shape>
        </w:pict>
      </w:r>
      <w:r>
        <w:rPr>
          <w:noProof/>
        </w:rPr>
        <w:pict>
          <v:shape id="_x0000_s1281" type="#_x0000_t75" style="width:447.3pt;height:59pt;margin-top:411.55pt;margin-left:87.1pt;mso-position-horizontal-relative:page;mso-position-vertical-relative:page;position:absolute;z-index:-251429888">
            <v:imagedata r:id="rId219" o:title=""/>
          </v:shape>
        </w:pict>
      </w:r>
      <w:r>
        <w:rPr>
          <w:noProof/>
        </w:rPr>
        <w:pict>
          <v:shape id="_x0000_s1282" type="#_x0000_t75" style="width:447.3pt;height:44.85pt;margin-top:703.65pt;margin-left:87.1pt;mso-position-horizontal-relative:page;mso-position-vertical-relative:page;position:absolute;z-index:-251539456">
            <v:imagedata r:id="rId220" o:title=""/>
          </v:shape>
        </w:pict>
      </w:r>
    </w:p>
    <w:p>
      <w:pPr>
        <w:spacing w:line="0" w:lineRule="atLeast"/>
        <w:rPr>
          <w:rFonts w:ascii="Arial" w:eastAsiaTheme="minorEastAsia" w:hAnsiTheme="minorHAnsi" w:cstheme="minorBidi"/>
          <w:color w:val="FF0000"/>
          <w:sz w:val="2"/>
          <w:szCs w:val="22"/>
          <w:lang w:val="en-US" w:eastAsia="en-US" w:bidi="ar-SA"/>
        </w:rPr>
      </w:pPr>
      <w:bookmarkStart w:id="117" w:name="br1_116"/>
      <w:bookmarkEnd w:id="11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51"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盈余公积</w:t>
      </w:r>
    </w:p>
    <w:p>
      <w:pPr>
        <w:framePr w:w="1817"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07" w:x="1798" w:y="3029"/>
        <w:widowControl w:val="0"/>
        <w:autoSpaceDE w:val="0"/>
        <w:autoSpaceDN w:val="0"/>
        <w:spacing w:line="211" w:lineRule="exact"/>
        <w:ind w:left="59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1798" w:y="30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法定盈余公积</w:t>
      </w:r>
    </w:p>
    <w:p>
      <w:pPr>
        <w:framePr w:w="1507" w:x="1798" w:y="302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任意盈余公积</w:t>
      </w:r>
    </w:p>
    <w:p>
      <w:pPr>
        <w:framePr w:w="1507" w:x="1798" w:y="30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储备基金</w:t>
      </w:r>
    </w:p>
    <w:p>
      <w:pPr>
        <w:framePr w:w="1085" w:x="3918" w:y="3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5718" w:y="3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本期增加</w:t>
      </w:r>
    </w:p>
    <w:p>
      <w:pPr>
        <w:framePr w:w="1085" w:x="7530" w:y="3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本期减少</w:t>
      </w:r>
    </w:p>
    <w:p>
      <w:pPr>
        <w:framePr w:w="1085" w:x="9340" w:y="3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613" w:x="3660" w:y="33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613" w:x="9088" w:y="33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507" w:x="1798" w:y="41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企业发展基金</w:t>
      </w:r>
    </w:p>
    <w:p>
      <w:pPr>
        <w:framePr w:w="1507" w:x="1798" w:y="41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2393" w:y="47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3660" w:y="47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1613" w:x="9088" w:y="47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56,544,285.69</w:t>
      </w:r>
    </w:p>
    <w:p>
      <w:pPr>
        <w:framePr w:w="5520" w:x="1798" w:y="5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盈余公积说明，包括本期增减变动情况、变动原因说明：</w:t>
      </w:r>
    </w:p>
    <w:p>
      <w:pPr>
        <w:framePr w:w="451" w:x="1798" w:y="53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17" w:x="1798" w:y="57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未分配利润</w:t>
      </w:r>
    </w:p>
    <w:p>
      <w:pPr>
        <w:framePr w:w="1817" w:x="1798" w:y="5729"/>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3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334"/>
        <w:widowControl w:val="0"/>
        <w:autoSpaceDE w:val="0"/>
        <w:autoSpaceDN w:val="0"/>
        <w:spacing w:before="72" w:line="211" w:lineRule="exact"/>
        <w:ind w:left="7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上年度</w:t>
      </w:r>
    </w:p>
    <w:p>
      <w:pPr>
        <w:framePr w:w="4570" w:x="1798" w:y="6617"/>
        <w:widowControl w:val="0"/>
        <w:autoSpaceDE w:val="0"/>
        <w:autoSpaceDN w:val="0"/>
        <w:spacing w:line="211" w:lineRule="exact"/>
        <w:ind w:left="182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4570" w:x="1798" w:y="661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调整前上期末未分配利润</w:t>
      </w:r>
    </w:p>
    <w:p>
      <w:pPr>
        <w:framePr w:w="4570" w:x="1798" w:y="66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调整期初未分配利润合计数（调增</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pacing w:val="-12"/>
          <w:sz w:val="21"/>
          <w:szCs w:val="22"/>
          <w:lang w:val="en-US" w:eastAsia="en-US" w:bidi="ar-SA"/>
        </w:rPr>
        <w:t>，调减－）</w:t>
      </w:r>
    </w:p>
    <w:p>
      <w:pPr>
        <w:framePr w:w="4570" w:x="1798" w:y="661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调整后期初未分配利润</w:t>
      </w:r>
    </w:p>
    <w:p>
      <w:pPr>
        <w:framePr w:w="4570" w:x="1798" w:y="661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加：本期归属于母公司所有者的净利润</w:t>
      </w:r>
    </w:p>
    <w:p>
      <w:pPr>
        <w:framePr w:w="4570" w:x="1798" w:y="661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减：提取法定盈余公积</w:t>
      </w:r>
    </w:p>
    <w:p>
      <w:pPr>
        <w:framePr w:w="4570" w:x="1798" w:y="6617"/>
        <w:widowControl w:val="0"/>
        <w:autoSpaceDE w:val="0"/>
        <w:autoSpaceDN w:val="0"/>
        <w:spacing w:before="72"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提取任意盈余公积</w:t>
      </w:r>
    </w:p>
    <w:p>
      <w:pPr>
        <w:framePr w:w="662" w:x="6834" w:y="6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w:t>
      </w:r>
    </w:p>
    <w:p>
      <w:pPr>
        <w:framePr w:w="1718" w:x="6676" w:y="74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1718" w:x="6676" w:y="7464"/>
        <w:widowControl w:val="0"/>
        <w:autoSpaceDE w:val="0"/>
        <w:autoSpaceDN w:val="0"/>
        <w:spacing w:before="72" w:line="211" w:lineRule="exact"/>
        <w:ind w:left="10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p>
    <w:p>
      <w:pPr>
        <w:framePr w:w="1721" w:x="9156" w:y="74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699,959,577.53</w:t>
      </w:r>
    </w:p>
    <w:p>
      <w:pPr>
        <w:framePr w:w="1721" w:x="9156" w:y="746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204,618,341.01</w:t>
      </w:r>
    </w:p>
    <w:p>
      <w:pPr>
        <w:framePr w:w="1930" w:x="2218" w:y="8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提取一般风险准备</w:t>
      </w:r>
    </w:p>
    <w:p>
      <w:pPr>
        <w:framePr w:w="1718" w:x="2218" w:y="88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应付普通股股利</w:t>
      </w:r>
    </w:p>
    <w:p>
      <w:pPr>
        <w:framePr w:w="1718" w:x="6676" w:y="8876"/>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33,600,000.00</w:t>
      </w:r>
    </w:p>
    <w:p>
      <w:pPr>
        <w:framePr w:w="1718" w:x="6676" w:y="8876"/>
        <w:widowControl w:val="0"/>
        <w:autoSpaceDE w:val="0"/>
        <w:autoSpaceDN w:val="0"/>
        <w:spacing w:before="35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966,833,009.01</w:t>
      </w:r>
    </w:p>
    <w:p>
      <w:pPr>
        <w:framePr w:w="2763" w:x="1798" w:y="915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转作股本的普通股股利</w:t>
      </w:r>
    </w:p>
    <w:p>
      <w:pPr>
        <w:framePr w:w="2763" w:x="1798" w:y="91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期末未分配利润</w:t>
      </w:r>
    </w:p>
    <w:p>
      <w:pPr>
        <w:framePr w:w="1718" w:x="9163" w:y="94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904,577,918.54</w:t>
      </w:r>
    </w:p>
    <w:p>
      <w:pPr>
        <w:framePr w:w="2774" w:x="1798" w:y="97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调整期初未分配利润明细：</w:t>
      </w:r>
    </w:p>
    <w:p>
      <w:pPr>
        <w:framePr w:w="8488" w:x="1798" w:y="102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、由于《企业会计准则》及其相关新规定进行追溯调整，影响期初未分配利润</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8488" w:x="1798" w:y="10251"/>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、由于会计政策变更，影响期初未分配利润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6807" w:x="1798" w:y="110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、由于重大会计差错更正，影响期初未分配利润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0.00</w:t>
      </w:r>
      <w:r>
        <w:rPr>
          <w:rFonts w:ascii="SimSun"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6807" w:x="1798" w:y="110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、由于同一控制导致的合并范围变更，影响期初未分配利润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6807" w:x="1798" w:y="1106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、其他调整合计影响期初未分配利润</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0.00</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元。</w:t>
      </w:r>
    </w:p>
    <w:p>
      <w:pPr>
        <w:framePr w:w="2988" w:x="1798" w:y="123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营业收入和营业成本</w:t>
      </w:r>
    </w:p>
    <w:p>
      <w:pPr>
        <w:framePr w:w="2988" w:x="1798" w:y="12354"/>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营业收入和营业成本情况</w:t>
      </w:r>
    </w:p>
    <w:p>
      <w:pPr>
        <w:framePr w:w="2988" w:x="1798" w:y="12354"/>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29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296" w:x="4592" w:y="13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662" w:x="2321" w:y="137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3971" w:y="1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5840" w:y="1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662" w:x="7717" w:y="1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9592" w:y="138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1085" w:x="1920" w:y="14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w:t>
      </w:r>
    </w:p>
    <w:p>
      <w:pPr>
        <w:framePr w:w="1085" w:x="1920" w:y="1414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其他业务</w:t>
      </w:r>
    </w:p>
    <w:p>
      <w:pPr>
        <w:framePr w:w="1085" w:x="1920" w:y="14140"/>
        <w:widowControl w:val="0"/>
        <w:autoSpaceDE w:val="0"/>
        <w:autoSpaceDN w:val="0"/>
        <w:spacing w:before="72" w:line="211" w:lineRule="exact"/>
        <w:ind w:left="40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3533" w:y="14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956,678,081.97</w:t>
      </w:r>
    </w:p>
    <w:p>
      <w:pPr>
        <w:framePr w:w="1718" w:x="3533" w:y="1414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8,831,990.04</w:t>
      </w:r>
    </w:p>
    <w:p>
      <w:pPr>
        <w:framePr w:w="1718" w:x="5411" w:y="14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657,543,084.93</w:t>
      </w:r>
    </w:p>
    <w:p>
      <w:pPr>
        <w:framePr w:w="1718" w:x="7285" w:y="14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846,611,418.76</w:t>
      </w:r>
    </w:p>
    <w:p>
      <w:pPr>
        <w:framePr w:w="1718" w:x="9160" w:y="141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553,435,494.47</w:t>
      </w:r>
    </w:p>
    <w:p>
      <w:pPr>
        <w:framePr w:w="1718" w:x="9160" w:y="14140"/>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8,550,714.07</w:t>
      </w:r>
    </w:p>
    <w:p>
      <w:pPr>
        <w:framePr w:w="1718" w:x="9160" w:y="141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561,986,208.54</w:t>
      </w:r>
    </w:p>
    <w:p>
      <w:pPr>
        <w:framePr w:w="3495" w:x="5411" w:y="14420"/>
        <w:widowControl w:val="0"/>
        <w:autoSpaceDE w:val="0"/>
        <w:autoSpaceDN w:val="0"/>
        <w:spacing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3,567,928.18</w:t>
      </w:r>
      <w:r>
        <w:rPr>
          <w:rFonts w:ascii="SimSun" w:eastAsiaTheme="minorEastAsia" w:hAnsiTheme="minorHAnsi" w:cstheme="minorBidi"/>
          <w:color w:val="000000"/>
          <w:spacing w:val="25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11,163,596.66</w:t>
      </w:r>
    </w:p>
    <w:p>
      <w:pPr>
        <w:framePr w:w="3495" w:x="5411" w:y="1442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661,111,013.11</w:t>
      </w:r>
      <w:r>
        <w:rPr>
          <w:rFonts w:ascii="SimSun" w:eastAsiaTheme="minorEastAsia" w:hAnsiTheme="minorHAnsi" w:cstheme="minorBidi"/>
          <w:color w:val="000000"/>
          <w:spacing w:val="20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857,775,015.42</w:t>
      </w:r>
    </w:p>
    <w:p>
      <w:pPr>
        <w:framePr w:w="1718" w:x="3533" w:y="1470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965,510,072.01</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3" type="#_x0000_t75" style="width:445.6pt;height:2.7pt;margin-top:53.65pt;margin-left:87.45pt;mso-position-horizontal-relative:page;mso-position-vertical-relative:page;position:absolute;z-index:-251322368">
            <v:imagedata r:id="rId221" o:title=""/>
          </v:shape>
        </w:pict>
      </w:r>
      <w:r>
        <w:rPr>
          <w:noProof/>
        </w:rPr>
        <w:pict>
          <v:shape id="_x0000_s1284" type="#_x0000_t75" style="width:447.3pt;height:101.25pt;margin-top:148.45pt;margin-left:87.1pt;mso-position-horizontal-relative:page;mso-position-vertical-relative:page;position:absolute;z-index:-251360256">
            <v:imagedata r:id="rId222" o:title=""/>
          </v:shape>
        </w:pict>
      </w:r>
      <w:r>
        <w:rPr>
          <w:noProof/>
        </w:rPr>
        <w:pict>
          <v:shape id="_x0000_s1285" type="#_x0000_t75" style="width:447.3pt;height:157.8pt;margin-top:327.9pt;margin-left:87.1pt;mso-position-horizontal-relative:page;mso-position-vertical-relative:page;position:absolute;z-index:-251428864">
            <v:imagedata r:id="rId223" o:title=""/>
          </v:shape>
        </w:pict>
      </w:r>
      <w:r>
        <w:rPr>
          <w:noProof/>
        </w:rPr>
        <w:pict>
          <v:shape id="_x0000_s1286" type="#_x0000_t75" style="width:448.95pt;height:73.15pt;margin-top:675.7pt;margin-left:89.4pt;mso-position-horizontal-relative:page;mso-position-vertical-relative:page;position:absolute;z-index:-251538432">
            <v:imagedata r:id="rId224" o:title=""/>
          </v:shape>
        </w:pict>
      </w:r>
    </w:p>
    <w:p>
      <w:pPr>
        <w:spacing w:line="0" w:lineRule="atLeast"/>
        <w:rPr>
          <w:rFonts w:ascii="Arial" w:eastAsiaTheme="minorEastAsia" w:hAnsiTheme="minorHAnsi" w:cstheme="minorBidi"/>
          <w:color w:val="FF0000"/>
          <w:sz w:val="2"/>
          <w:szCs w:val="22"/>
          <w:lang w:val="en-US" w:eastAsia="en-US" w:bidi="ar-SA"/>
        </w:rPr>
      </w:pPr>
      <w:bookmarkStart w:id="118" w:name="br1_117"/>
      <w:bookmarkEnd w:id="11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77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合同产生的收入的情况</w:t>
      </w:r>
    </w:p>
    <w:p>
      <w:pPr>
        <w:framePr w:w="1817"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6"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履约义务的说明</w:t>
      </w:r>
    </w:p>
    <w:p>
      <w:pPr>
        <w:framePr w:w="1817" w:x="1798" w:y="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7"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分摊至剩余履约义务的说明</w:t>
      </w:r>
    </w:p>
    <w:p>
      <w:pPr>
        <w:framePr w:w="1817" w:x="1798" w:y="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4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434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800" w:x="1798" w:y="5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税金及附加</w:t>
      </w:r>
    </w:p>
    <w:p>
      <w:pPr>
        <w:framePr w:w="1817" w:x="1798" w:y="56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8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5890"/>
        <w:widowControl w:val="0"/>
        <w:autoSpaceDE w:val="0"/>
        <w:autoSpaceDN w:val="0"/>
        <w:spacing w:before="77" w:line="211" w:lineRule="exact"/>
        <w:ind w:left="307"/>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850" w:x="1798" w:y="6178"/>
        <w:widowControl w:val="0"/>
        <w:autoSpaceDE w:val="0"/>
        <w:autoSpaceDN w:val="0"/>
        <w:spacing w:line="211" w:lineRule="exact"/>
        <w:ind w:left="118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850" w:x="1798" w:y="617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消费税</w:t>
      </w:r>
    </w:p>
    <w:p>
      <w:pPr>
        <w:framePr w:w="1296" w:x="5607" w:y="6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874" w:x="1798" w:y="67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营业税</w:t>
      </w:r>
    </w:p>
    <w:p>
      <w:pPr>
        <w:framePr w:w="1718" w:x="1798" w:y="70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城市维护建设税</w:t>
      </w:r>
    </w:p>
    <w:p>
      <w:pPr>
        <w:framePr w:w="1718" w:x="1798" w:y="703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教育费附加</w:t>
      </w:r>
    </w:p>
    <w:p>
      <w:pPr>
        <w:framePr w:w="1718" w:x="1798" w:y="7039"/>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资源税</w:t>
      </w:r>
    </w:p>
    <w:p>
      <w:pPr>
        <w:framePr w:w="874" w:x="6981" w:y="70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564.41</w:t>
      </w:r>
    </w:p>
    <w:p>
      <w:pPr>
        <w:framePr w:w="874" w:x="6981" w:y="70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211.69</w:t>
      </w:r>
    </w:p>
    <w:p>
      <w:pPr>
        <w:framePr w:w="1190" w:x="9686" w:y="70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38,271.09</w:t>
      </w:r>
    </w:p>
    <w:p>
      <w:pPr>
        <w:framePr w:w="1190" w:x="9686" w:y="7039"/>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22,974.72</w:t>
      </w:r>
    </w:p>
    <w:p>
      <w:pPr>
        <w:framePr w:w="874" w:x="1798" w:y="79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房产税</w:t>
      </w:r>
    </w:p>
    <w:p>
      <w:pPr>
        <w:framePr w:w="1296" w:x="6561" w:y="79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784,384.60</w:t>
      </w:r>
    </w:p>
    <w:p>
      <w:pPr>
        <w:framePr w:w="1507" w:x="9372" w:y="7901"/>
        <w:widowControl w:val="0"/>
        <w:autoSpaceDE w:val="0"/>
        <w:autoSpaceDN w:val="0"/>
        <w:spacing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599,148.41</w:t>
      </w:r>
    </w:p>
    <w:p>
      <w:pPr>
        <w:framePr w:w="1507" w:x="9372" w:y="7901"/>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1,864,651.28</w:t>
      </w:r>
    </w:p>
    <w:p>
      <w:pPr>
        <w:framePr w:w="1507" w:x="9372" w:y="7901"/>
        <w:widowControl w:val="0"/>
        <w:autoSpaceDE w:val="0"/>
        <w:autoSpaceDN w:val="0"/>
        <w:spacing w:before="77"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1,800.00</w:t>
      </w:r>
    </w:p>
    <w:p>
      <w:pPr>
        <w:framePr w:w="1296" w:x="1798" w:y="81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土地使用税</w:t>
      </w:r>
    </w:p>
    <w:p>
      <w:pPr>
        <w:framePr w:w="1296" w:x="1798" w:y="818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车船使用税</w:t>
      </w:r>
    </w:p>
    <w:p>
      <w:pPr>
        <w:framePr w:w="1296" w:x="1798" w:y="8189"/>
        <w:widowControl w:val="0"/>
        <w:autoSpaceDE w:val="0"/>
        <w:autoSpaceDN w:val="0"/>
        <w:spacing w:before="7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印花税</w:t>
      </w:r>
    </w:p>
    <w:p>
      <w:pPr>
        <w:framePr w:w="1507" w:x="6351" w:y="81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1,546,536.80</w:t>
      </w:r>
    </w:p>
    <w:p>
      <w:pPr>
        <w:framePr w:w="1296" w:x="6561" w:y="87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307,525.14</w:t>
      </w:r>
    </w:p>
    <w:p>
      <w:pPr>
        <w:framePr w:w="1296" w:x="6561" w:y="8763"/>
        <w:widowControl w:val="0"/>
        <w:autoSpaceDE w:val="0"/>
        <w:autoSpaceDN w:val="0"/>
        <w:spacing w:before="77"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5,388.92</w:t>
      </w:r>
    </w:p>
    <w:p>
      <w:pPr>
        <w:framePr w:w="1296" w:x="9580" w:y="876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300,818.82</w:t>
      </w:r>
    </w:p>
    <w:p>
      <w:pPr>
        <w:framePr w:w="1296" w:x="9580" w:y="8763"/>
        <w:widowControl w:val="0"/>
        <w:autoSpaceDE w:val="0"/>
        <w:autoSpaceDN w:val="0"/>
        <w:spacing w:before="77"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5,961.99</w:t>
      </w:r>
    </w:p>
    <w:p>
      <w:pPr>
        <w:framePr w:w="662" w:x="1798" w:y="90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2986" w:y="93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351" w:y="93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2,644,611.56</w:t>
      </w:r>
    </w:p>
    <w:p>
      <w:pPr>
        <w:framePr w:w="1507" w:x="9372" w:y="93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2,833,626.31</w:t>
      </w:r>
    </w:p>
    <w:p>
      <w:pPr>
        <w:framePr w:w="1296" w:x="1798" w:y="9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9687"/>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10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销售费用</w:t>
      </w:r>
    </w:p>
    <w:p>
      <w:pPr>
        <w:framePr w:w="1817" w:x="1798" w:y="109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2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228"/>
        <w:widowControl w:val="0"/>
        <w:autoSpaceDE w:val="0"/>
        <w:autoSpaceDN w:val="0"/>
        <w:spacing w:before="72" w:line="211" w:lineRule="exact"/>
        <w:ind w:left="6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311" w:x="1798" w:y="11511"/>
        <w:widowControl w:val="0"/>
        <w:autoSpaceDE w:val="0"/>
        <w:autoSpaceDN w:val="0"/>
        <w:spacing w:line="211" w:lineRule="exact"/>
        <w:ind w:left="164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311" w:x="1798" w:y="1151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职工薪酬</w:t>
      </w:r>
    </w:p>
    <w:p>
      <w:pPr>
        <w:framePr w:w="1296" w:x="6447" w:y="11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507" w:x="6952" w:y="1179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4,740,467.40</w:t>
      </w:r>
    </w:p>
    <w:p>
      <w:pPr>
        <w:framePr w:w="1613" w:x="9266" w:y="1179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3,135,685.69</w:t>
      </w:r>
    </w:p>
    <w:p>
      <w:pPr>
        <w:framePr w:w="1613" w:x="9266" w:y="11792"/>
        <w:widowControl w:val="0"/>
        <w:autoSpaceDE w:val="0"/>
        <w:autoSpaceDN w:val="0"/>
        <w:spacing w:before="73"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9,880,888.43</w:t>
      </w:r>
    </w:p>
    <w:p>
      <w:pPr>
        <w:framePr w:w="1613" w:x="9266" w:y="1179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3,680,674.76</w:t>
      </w:r>
    </w:p>
    <w:p>
      <w:pPr>
        <w:framePr w:w="1613" w:x="9266" w:y="1179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2,256,277.41</w:t>
      </w:r>
    </w:p>
    <w:p>
      <w:pPr>
        <w:framePr w:w="1613" w:x="9266" w:y="1179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2,877,702.16</w:t>
      </w:r>
    </w:p>
    <w:p>
      <w:pPr>
        <w:framePr w:w="1613" w:x="9266" w:y="1179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1,098,353.80</w:t>
      </w:r>
    </w:p>
    <w:p>
      <w:pPr>
        <w:framePr w:w="1613" w:x="9266" w:y="1179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22,929,582.25</w:t>
      </w:r>
    </w:p>
    <w:p>
      <w:pPr>
        <w:framePr w:w="874" w:x="1798" w:y="120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运输费</w:t>
      </w:r>
    </w:p>
    <w:p>
      <w:pPr>
        <w:framePr w:w="1613" w:x="6846" w:y="120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11,128,419.76</w:t>
      </w:r>
    </w:p>
    <w:p>
      <w:pPr>
        <w:framePr w:w="1613" w:x="6846" w:y="12076"/>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1,873,016.44</w:t>
      </w:r>
    </w:p>
    <w:p>
      <w:pPr>
        <w:framePr w:w="1613" w:x="6846" w:y="1207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5,966,928.81</w:t>
      </w:r>
    </w:p>
    <w:p>
      <w:pPr>
        <w:framePr w:w="1613" w:x="6846" w:y="12076"/>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2,094,605.22</w:t>
      </w:r>
    </w:p>
    <w:p>
      <w:pPr>
        <w:framePr w:w="1613" w:x="6846" w:y="12076"/>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597,548.22</w:t>
      </w:r>
    </w:p>
    <w:p>
      <w:pPr>
        <w:framePr w:w="2774" w:x="1798" w:y="123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办公、差旅、业务及招待费</w:t>
      </w:r>
    </w:p>
    <w:p>
      <w:pPr>
        <w:framePr w:w="2774" w:x="1798" w:y="1235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产品检验、认证及登记费</w:t>
      </w:r>
    </w:p>
    <w:p>
      <w:pPr>
        <w:framePr w:w="2774" w:x="1798" w:y="1235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广告及宣传推广费</w:t>
      </w:r>
    </w:p>
    <w:p>
      <w:pPr>
        <w:framePr w:w="2774" w:x="1798" w:y="1235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3447" w:y="13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846" w:y="134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26,400,985.85</w:t>
      </w:r>
    </w:p>
    <w:p>
      <w:pPr>
        <w:framePr w:w="1296" w:x="1798" w:y="13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3830"/>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147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管理费用</w:t>
      </w:r>
    </w:p>
    <w:p>
      <w:pPr>
        <w:framePr w:w="1817" w:x="1798" w:y="151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119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87" type="#_x0000_t75" style="width:445.6pt;height:2.7pt;margin-top:53.65pt;margin-left:87.45pt;mso-position-horizontal-relative:page;mso-position-vertical-relative:page;position:absolute;z-index:-251359232">
            <v:imagedata r:id="rId225" o:title=""/>
          </v:shape>
        </w:pict>
      </w:r>
      <w:r>
        <w:rPr>
          <w:noProof/>
        </w:rPr>
        <w:pict>
          <v:shape id="_x0000_s1288" type="#_x0000_t75" style="width:447.5pt;height:175.2pt;margin-top:305.7pt;margin-left:87pt;mso-position-horizontal-relative:page;mso-position-vertical-relative:page;position:absolute;z-index:-251427840">
            <v:imagedata r:id="rId226" o:title=""/>
          </v:shape>
        </w:pict>
      </w:r>
      <w:r>
        <w:rPr>
          <w:noProof/>
        </w:rPr>
        <w:pict>
          <v:shape id="_x0000_s1289" type="#_x0000_t75" style="width:454.95pt;height:115.55pt;margin-top:572.45pt;margin-left:83.25pt;mso-position-horizontal-relative:page;mso-position-vertical-relative:page;position:absolute;z-index:-251537408">
            <v:imagedata r:id="rId227" o:title=""/>
          </v:shape>
        </w:pict>
      </w:r>
    </w:p>
    <w:p>
      <w:pPr>
        <w:spacing w:line="0" w:lineRule="atLeast"/>
        <w:rPr>
          <w:rFonts w:ascii="Arial" w:eastAsiaTheme="minorEastAsia" w:hAnsiTheme="minorHAnsi" w:cstheme="minorBidi"/>
          <w:color w:val="FF0000"/>
          <w:sz w:val="2"/>
          <w:szCs w:val="22"/>
          <w:lang w:val="en-US" w:eastAsia="en-US" w:bidi="ar-SA"/>
        </w:rPr>
      </w:pPr>
      <w:bookmarkStart w:id="119" w:name="br1_118"/>
      <w:bookmarkEnd w:id="11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554" w:x="8320"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535"/>
        <w:widowControl w:val="0"/>
        <w:autoSpaceDE w:val="0"/>
        <w:autoSpaceDN w:val="0"/>
        <w:spacing w:before="72" w:line="211" w:lineRule="exact"/>
        <w:ind w:left="6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483"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63" w:x="6472" w:y="1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963" w:x="6472" w:y="1819"/>
        <w:widowControl w:val="0"/>
        <w:autoSpaceDE w:val="0"/>
        <w:autoSpaceDN w:val="0"/>
        <w:spacing w:before="72" w:line="211" w:lineRule="exact"/>
        <w:ind w:left="3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20,124,818.88</w:t>
      </w:r>
    </w:p>
    <w:p>
      <w:pPr>
        <w:framePr w:w="1085" w:x="1798"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职工薪酬</w:t>
      </w:r>
    </w:p>
    <w:p>
      <w:pPr>
        <w:framePr w:w="1085" w:x="1798" w:y="21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安全费</w:t>
      </w:r>
    </w:p>
    <w:p>
      <w:pPr>
        <w:framePr w:w="1613" w:x="9268" w:y="21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14,948,867.37</w:t>
      </w:r>
    </w:p>
    <w:p>
      <w:pPr>
        <w:framePr w:w="1613" w:x="9268" w:y="210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6,854,813.63</w:t>
      </w:r>
    </w:p>
    <w:p>
      <w:pPr>
        <w:framePr w:w="1613" w:x="9268" w:y="210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6,803,417.37</w:t>
      </w:r>
    </w:p>
    <w:p>
      <w:pPr>
        <w:framePr w:w="1613" w:x="9268" w:y="210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3,897,304.63</w:t>
      </w:r>
    </w:p>
    <w:p>
      <w:pPr>
        <w:framePr w:w="1613" w:x="9268" w:y="210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3,769,279.50</w:t>
      </w:r>
    </w:p>
    <w:p>
      <w:pPr>
        <w:framePr w:w="1613" w:x="9268" w:y="210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3,255,528.09</w:t>
      </w:r>
    </w:p>
    <w:p>
      <w:pPr>
        <w:framePr w:w="1613" w:x="9268" w:y="210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36,595,031.40</w:t>
      </w:r>
    </w:p>
    <w:p>
      <w:pPr>
        <w:framePr w:w="1613" w:x="9268" w:y="210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1,785,666.24</w:t>
      </w:r>
    </w:p>
    <w:p>
      <w:pPr>
        <w:framePr w:w="1613" w:x="9268" w:y="210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77,909,908.23</w:t>
      </w:r>
    </w:p>
    <w:p>
      <w:pPr>
        <w:framePr w:w="1613" w:x="6827" w:y="238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8,009,774.21</w:t>
      </w:r>
    </w:p>
    <w:p>
      <w:pPr>
        <w:framePr w:w="1613" w:x="6827" w:y="238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8,319,349.31</w:t>
      </w:r>
    </w:p>
    <w:p>
      <w:pPr>
        <w:framePr w:w="1613" w:x="6827" w:y="238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5,616,938.59</w:t>
      </w:r>
    </w:p>
    <w:p>
      <w:pPr>
        <w:framePr w:w="1613" w:x="6827" w:y="238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5,209,771.03</w:t>
      </w:r>
    </w:p>
    <w:p>
      <w:pPr>
        <w:framePr w:w="1613" w:x="6827" w:y="2383"/>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5,160,223.06</w:t>
      </w:r>
    </w:p>
    <w:p>
      <w:pPr>
        <w:framePr w:w="1613" w:x="6827" w:y="2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30,177,282.08</w:t>
      </w:r>
    </w:p>
    <w:p>
      <w:pPr>
        <w:framePr w:w="1613" w:x="6827" w:y="2383"/>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6,011,471.63</w:t>
      </w:r>
    </w:p>
    <w:p>
      <w:pPr>
        <w:framePr w:w="1613" w:x="6827" w:y="238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88,629,628.79</w:t>
      </w:r>
    </w:p>
    <w:p>
      <w:pPr>
        <w:framePr w:w="874" w:x="1798" w:y="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修理费</w:t>
      </w:r>
    </w:p>
    <w:p>
      <w:pPr>
        <w:framePr w:w="2774" w:x="1798" w:y="29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办公、差旅、业务及招待费</w:t>
      </w:r>
    </w:p>
    <w:p>
      <w:pPr>
        <w:framePr w:w="1296" w:x="1798" w:y="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折旧与摊销</w:t>
      </w:r>
    </w:p>
    <w:p>
      <w:pPr>
        <w:framePr w:w="1296" w:x="1798" w:y="323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咨询费</w:t>
      </w:r>
    </w:p>
    <w:p>
      <w:pPr>
        <w:framePr w:w="1296" w:x="1798" w:y="37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危险处置费</w:t>
      </w:r>
    </w:p>
    <w:p>
      <w:pPr>
        <w:framePr w:w="1296" w:x="1798" w:y="379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662" w:x="3483" w:y="4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47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4761"/>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56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研发费用</w:t>
      </w:r>
    </w:p>
    <w:p>
      <w:pPr>
        <w:framePr w:w="1817" w:x="1798" w:y="5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245"/>
        <w:widowControl w:val="0"/>
        <w:autoSpaceDE w:val="0"/>
        <w:autoSpaceDN w:val="0"/>
        <w:spacing w:before="72" w:line="211" w:lineRule="exact"/>
        <w:ind w:left="6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347" w:x="1798" w:y="6528"/>
        <w:widowControl w:val="0"/>
        <w:autoSpaceDE w:val="0"/>
        <w:autoSpaceDN w:val="0"/>
        <w:spacing w:line="211" w:lineRule="exact"/>
        <w:ind w:left="16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347" w:x="1798" w:y="652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直接投入</w:t>
      </w:r>
    </w:p>
    <w:p>
      <w:pPr>
        <w:framePr w:w="1296" w:x="6472" w:y="65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827" w:y="68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37,875,805.40</w:t>
      </w:r>
    </w:p>
    <w:p>
      <w:pPr>
        <w:framePr w:w="1613" w:x="6827" w:y="680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12,152,926.02</w:t>
      </w:r>
    </w:p>
    <w:p>
      <w:pPr>
        <w:framePr w:w="1613" w:x="6827" w:y="680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827,779.86</w:t>
      </w:r>
    </w:p>
    <w:p>
      <w:pPr>
        <w:framePr w:w="1613" w:x="9268" w:y="68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24,842,216.96</w:t>
      </w:r>
    </w:p>
    <w:p>
      <w:pPr>
        <w:framePr w:w="1613" w:x="9268" w:y="680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10,284,012.28</w:t>
      </w:r>
    </w:p>
    <w:p>
      <w:pPr>
        <w:framePr w:w="1613" w:x="9268" w:y="6809"/>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656,991.28</w:t>
      </w:r>
    </w:p>
    <w:p>
      <w:pPr>
        <w:framePr w:w="1085" w:x="1798" w:y="70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直接人工</w:t>
      </w:r>
    </w:p>
    <w:p>
      <w:pPr>
        <w:framePr w:w="2563" w:x="1798" w:y="73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折旧费用与长期待摊费用</w:t>
      </w:r>
    </w:p>
    <w:p>
      <w:pPr>
        <w:framePr w:w="2563" w:x="1798" w:y="737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其他费用</w:t>
      </w:r>
    </w:p>
    <w:p>
      <w:pPr>
        <w:framePr w:w="1085" w:x="7353" w:y="76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6,137.41</w:t>
      </w:r>
    </w:p>
    <w:p>
      <w:pPr>
        <w:framePr w:w="1296" w:x="9583" w:y="765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145,334.37</w:t>
      </w:r>
    </w:p>
    <w:p>
      <w:pPr>
        <w:framePr w:w="662" w:x="3483" w:y="79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827" w:y="79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50,862,648.69</w:t>
      </w:r>
    </w:p>
    <w:p>
      <w:pPr>
        <w:framePr w:w="1613" w:x="9268" w:y="79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35,928,554.89</w:t>
      </w:r>
    </w:p>
    <w:p>
      <w:pPr>
        <w:framePr w:w="1296" w:x="1798" w:y="84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8494"/>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93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财务费用</w:t>
      </w:r>
    </w:p>
    <w:p>
      <w:pPr>
        <w:framePr w:w="1817" w:x="1798" w:y="97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9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9975"/>
        <w:widowControl w:val="0"/>
        <w:autoSpaceDE w:val="0"/>
        <w:autoSpaceDN w:val="0"/>
        <w:spacing w:before="72" w:line="211" w:lineRule="exact"/>
        <w:ind w:left="67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347" w:x="1798" w:y="10258"/>
        <w:widowControl w:val="0"/>
        <w:autoSpaceDE w:val="0"/>
        <w:autoSpaceDN w:val="0"/>
        <w:spacing w:line="211" w:lineRule="exact"/>
        <w:ind w:left="168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347" w:x="1798" w:y="102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利息支出</w:t>
      </w:r>
    </w:p>
    <w:p>
      <w:pPr>
        <w:framePr w:w="1296" w:x="6472" w:y="10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827" w:y="10542"/>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580,362.93</w:t>
      </w:r>
    </w:p>
    <w:p>
      <w:pPr>
        <w:framePr w:w="1613" w:x="6827" w:y="1054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-1,323,775.90</w:t>
      </w:r>
    </w:p>
    <w:p>
      <w:pPr>
        <w:framePr w:w="1613" w:x="6827" w:y="1054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-4,105,682.11</w:t>
      </w:r>
    </w:p>
    <w:p>
      <w:pPr>
        <w:framePr w:w="1613" w:x="6827" w:y="10542"/>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364,856.29</w:t>
      </w:r>
    </w:p>
    <w:p>
      <w:pPr>
        <w:framePr w:w="1296" w:x="9583" w:y="105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609,845.84</w:t>
      </w:r>
    </w:p>
    <w:p>
      <w:pPr>
        <w:framePr w:w="1085" w:x="1798" w:y="108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402" w:x="9480" w:y="108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-512,669.13</w:t>
      </w:r>
    </w:p>
    <w:p>
      <w:pPr>
        <w:framePr w:w="1085" w:x="1798" w:y="111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汇兑损益</w:t>
      </w:r>
    </w:p>
    <w:p>
      <w:pPr>
        <w:framePr w:w="1613" w:x="9268" w:y="1110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-3,618,776.00</w:t>
      </w:r>
    </w:p>
    <w:p>
      <w:pPr>
        <w:framePr w:w="1613" w:x="9268" w:y="11105"/>
        <w:widowControl w:val="0"/>
        <w:autoSpaceDE w:val="0"/>
        <w:autoSpaceDN w:val="0"/>
        <w:spacing w:before="70"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347,068.46</w:t>
      </w:r>
    </w:p>
    <w:p>
      <w:pPr>
        <w:framePr w:w="1296" w:x="1798" w:y="113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银行手续费</w:t>
      </w:r>
    </w:p>
    <w:p>
      <w:pPr>
        <w:framePr w:w="1296" w:x="1798" w:y="1138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期权费</w:t>
      </w:r>
    </w:p>
    <w:p>
      <w:pPr>
        <w:framePr w:w="1613" w:x="9268" w:y="1166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1,155,418.00</w:t>
      </w:r>
    </w:p>
    <w:p>
      <w:pPr>
        <w:framePr w:w="1613" w:x="9268" w:y="1166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-2,019,112.83</w:t>
      </w:r>
    </w:p>
    <w:p>
      <w:pPr>
        <w:framePr w:w="662" w:x="3483" w:y="119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827" w:y="119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-4,484,238.79</w:t>
      </w:r>
    </w:p>
    <w:p>
      <w:pPr>
        <w:framePr w:w="1296" w:x="1798" w:y="125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250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133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其他收益</w:t>
      </w:r>
    </w:p>
    <w:p>
      <w:pPr>
        <w:framePr w:w="1817" w:x="1798" w:y="137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988"/>
        <w:widowControl w:val="0"/>
        <w:autoSpaceDE w:val="0"/>
        <w:autoSpaceDN w:val="0"/>
        <w:spacing w:before="72" w:line="211" w:lineRule="exact"/>
        <w:ind w:left="6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774" w:x="1798" w:y="14272"/>
        <w:widowControl w:val="0"/>
        <w:autoSpaceDE w:val="0"/>
        <w:autoSpaceDN w:val="0"/>
        <w:spacing w:line="211" w:lineRule="exact"/>
        <w:ind w:left="193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774" w:x="1798" w:y="1427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大气治理环保项目专项资金</w:t>
      </w:r>
    </w:p>
    <w:p>
      <w:pPr>
        <w:framePr w:w="2774" w:x="1798" w:y="1427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喹草酮项目</w:t>
      </w:r>
    </w:p>
    <w:p>
      <w:pPr>
        <w:framePr w:w="1723" w:x="6731" w:y="142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723" w:x="6731" w:y="14272"/>
        <w:widowControl w:val="0"/>
        <w:autoSpaceDE w:val="0"/>
        <w:autoSpaceDN w:val="0"/>
        <w:spacing w:before="72" w:line="211" w:lineRule="exact"/>
        <w:ind w:left="43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183,333.15</w:t>
      </w:r>
    </w:p>
    <w:p>
      <w:pPr>
        <w:framePr w:w="1723" w:x="6731" w:y="14272"/>
        <w:widowControl w:val="0"/>
        <w:autoSpaceDE w:val="0"/>
        <w:autoSpaceDN w:val="0"/>
        <w:spacing w:before="70" w:line="211" w:lineRule="exact"/>
        <w:ind w:left="43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380,272.56</w:t>
      </w:r>
    </w:p>
    <w:p>
      <w:pPr>
        <w:framePr w:w="1723" w:x="6731" w:y="14272"/>
        <w:widowControl w:val="0"/>
        <w:autoSpaceDE w:val="0"/>
        <w:autoSpaceDN w:val="0"/>
        <w:spacing w:before="72" w:line="211" w:lineRule="exact"/>
        <w:ind w:left="53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112,079.2</w:t>
      </w:r>
    </w:p>
    <w:p>
      <w:pPr>
        <w:framePr w:w="1296" w:x="9580" w:y="145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220,000.02</w:t>
      </w:r>
    </w:p>
    <w:p>
      <w:pPr>
        <w:framePr w:w="1296" w:x="9580" w:y="148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143,267.50</w:t>
      </w:r>
    </w:p>
    <w:p>
      <w:pPr>
        <w:framePr w:w="1930" w:x="1798" w:y="151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出口信用保险补助</w:t>
      </w:r>
    </w:p>
    <w:p>
      <w:pPr>
        <w:framePr w:w="1296" w:x="9580" w:y="151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273,952.00</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90" type="#_x0000_t75" style="width:445.6pt;height:2.7pt;margin-top:53.65pt;margin-left:87.45pt;mso-position-horizontal-relative:page;mso-position-vertical-relative:page;position:absolute;z-index:-251305984">
            <v:imagedata r:id="rId228" o:title=""/>
          </v:shape>
        </w:pict>
      </w:r>
      <w:r>
        <w:rPr>
          <w:noProof/>
        </w:rPr>
        <w:pict>
          <v:shape id="_x0000_s1291" type="#_x0000_t75" style="width:454.95pt;height:143.6pt;margin-top:88pt;margin-left:83.25pt;mso-position-horizontal-relative:page;mso-position-vertical-relative:page;position:absolute;z-index:-251321344">
            <v:imagedata r:id="rId229" o:title=""/>
          </v:shape>
        </w:pict>
      </w:r>
      <w:r>
        <w:rPr>
          <w:noProof/>
        </w:rPr>
        <w:pict>
          <v:shape id="_x0000_s1292" type="#_x0000_t75" style="width:454.95pt;height:87.2pt;margin-top:323.35pt;margin-left:83.25pt;mso-position-horizontal-relative:page;mso-position-vertical-relative:page;position:absolute;z-index:-251358208">
            <v:imagedata r:id="rId230" o:title=""/>
          </v:shape>
        </w:pict>
      </w:r>
      <w:r>
        <w:rPr>
          <w:noProof/>
        </w:rPr>
        <w:pict>
          <v:shape id="_x0000_s1293" type="#_x0000_t75" style="width:454.95pt;height:101.25pt;margin-top:509.95pt;margin-left:83.25pt;mso-position-horizontal-relative:page;mso-position-vertical-relative:page;position:absolute;z-index:-251426816">
            <v:imagedata r:id="rId231" o:title=""/>
          </v:shape>
        </w:pict>
      </w:r>
      <w:r>
        <w:rPr>
          <w:noProof/>
        </w:rPr>
        <w:pict>
          <v:shape id="_x0000_s1294" type="#_x0000_t75" style="width:454.95pt;height:58.9pt;margin-top:710.6pt;margin-left:83.25pt;mso-position-horizontal-relative:page;mso-position-vertical-relative:page;position:absolute;z-index:-251536384">
            <v:imagedata r:id="rId232" o:title=""/>
          </v:shape>
        </w:pict>
      </w:r>
    </w:p>
    <w:p>
      <w:pPr>
        <w:spacing w:line="0" w:lineRule="atLeast"/>
        <w:rPr>
          <w:rFonts w:ascii="Arial" w:eastAsiaTheme="minorEastAsia" w:hAnsiTheme="minorHAnsi" w:cstheme="minorBidi"/>
          <w:color w:val="FF0000"/>
          <w:sz w:val="2"/>
          <w:szCs w:val="22"/>
          <w:lang w:val="en-US" w:eastAsia="en-US" w:bidi="ar-SA"/>
        </w:rPr>
      </w:pPr>
      <w:bookmarkStart w:id="120" w:name="br1_119"/>
      <w:bookmarkEnd w:id="12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464"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发改局西部经济隆起带引进急需紧缺人才项目</w:t>
      </w:r>
    </w:p>
    <w:p>
      <w:pPr>
        <w:framePr w:w="1190" w:x="968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70,000.00</w:t>
      </w:r>
    </w:p>
    <w:p>
      <w:pPr>
        <w:framePr w:w="1190" w:x="9686" w:y="1547"/>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2,000.00</w:t>
      </w:r>
    </w:p>
    <w:p>
      <w:pPr>
        <w:framePr w:w="1190" w:x="9686" w:y="154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19,006.74</w:t>
      </w:r>
    </w:p>
    <w:p>
      <w:pPr>
        <w:framePr w:w="4076" w:x="1798" w:y="1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年潍坊市知识产权（专利）专项资金</w:t>
      </w:r>
    </w:p>
    <w:p>
      <w:pPr>
        <w:framePr w:w="4076" w:x="1798" w:y="1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土地返还款</w:t>
      </w:r>
    </w:p>
    <w:p>
      <w:pPr>
        <w:framePr w:w="1296" w:x="7161" w:y="211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12,671.16</w:t>
      </w:r>
    </w:p>
    <w:p>
      <w:pPr>
        <w:framePr w:w="1296" w:x="7161" w:y="211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376,064.00</w:t>
      </w:r>
    </w:p>
    <w:p>
      <w:pPr>
        <w:framePr w:w="1296" w:x="7161" w:y="211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73,662.00</w:t>
      </w:r>
    </w:p>
    <w:p>
      <w:pPr>
        <w:framePr w:w="1296" w:x="7161" w:y="211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58,000.00</w:t>
      </w:r>
    </w:p>
    <w:p>
      <w:pPr>
        <w:framePr w:w="1296" w:x="7161" w:y="211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333,659.00</w:t>
      </w:r>
    </w:p>
    <w:p>
      <w:pPr>
        <w:framePr w:w="1296" w:x="7161" w:y="2112"/>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1,115.82</w:t>
      </w:r>
    </w:p>
    <w:p>
      <w:pPr>
        <w:framePr w:w="3864" w:x="1798" w:y="23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年省级外经贸和商贸流通专项资金</w:t>
      </w:r>
    </w:p>
    <w:p>
      <w:pPr>
        <w:framePr w:w="3864" w:x="1798"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年市级外经贸发展专项资金</w:t>
      </w:r>
    </w:p>
    <w:p>
      <w:pPr>
        <w:framePr w:w="3864" w:x="1798" w:y="23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专利申请资助和专利奖励</w:t>
      </w:r>
    </w:p>
    <w:p>
      <w:pPr>
        <w:framePr w:w="3864" w:x="1798" w:y="23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稳定就业岗位补贴</w:t>
      </w:r>
    </w:p>
    <w:p>
      <w:pPr>
        <w:framePr w:w="2563" w:x="1798" w:y="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农业局捐赠监管设备</w:t>
      </w:r>
    </w:p>
    <w:p>
      <w:pPr>
        <w:framePr w:w="2563" w:x="1798" w:y="352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代扣代缴个税手续费返还</w:t>
      </w:r>
    </w:p>
    <w:p>
      <w:pPr>
        <w:framePr w:w="2563" w:x="1798" w:y="352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疫情补助</w:t>
      </w:r>
    </w:p>
    <w:p>
      <w:pPr>
        <w:framePr w:w="979" w:x="7477" w:y="380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2559.03</w:t>
      </w:r>
    </w:p>
    <w:p>
      <w:pPr>
        <w:framePr w:w="1296" w:x="7161" w:y="40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443,050.00</w:t>
      </w:r>
    </w:p>
    <w:p>
      <w:pPr>
        <w:framePr w:w="1296" w:x="7161" w:y="4087"/>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5,424.40</w:t>
      </w:r>
    </w:p>
    <w:p>
      <w:pPr>
        <w:framePr w:w="1507" w:x="1798" w:y="43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工会回拨经费</w:t>
      </w:r>
    </w:p>
    <w:p>
      <w:pPr>
        <w:framePr w:w="662" w:x="3730" w:y="46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6952" w:y="46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1,981,890.32</w:t>
      </w:r>
    </w:p>
    <w:p>
      <w:pPr>
        <w:framePr w:w="1296" w:x="9580" w:y="46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728,226.26</w:t>
      </w:r>
    </w:p>
    <w:p>
      <w:pPr>
        <w:framePr w:w="1296" w:x="1798" w:y="52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520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589" w:x="1798" w:y="60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投资收益</w:t>
      </w:r>
    </w:p>
    <w:p>
      <w:pPr>
        <w:framePr w:w="1817" w:x="1798" w:y="64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6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689"/>
        <w:widowControl w:val="0"/>
        <w:autoSpaceDE w:val="0"/>
        <w:autoSpaceDN w:val="0"/>
        <w:spacing w:before="72" w:line="211" w:lineRule="exact"/>
        <w:ind w:left="8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730" w:y="6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6873" w:y="69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4464" w:x="1798" w:y="72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权益法核算的长期股权投资收益</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处置长期股权投资产生的投资收益</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交易性金融资产在持有期间的投资收益</w:t>
      </w:r>
    </w:p>
    <w:p>
      <w:pPr>
        <w:framePr w:w="4464" w:x="1798" w:y="72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其他权益工具投资在持有期间取得的股利收入</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债权投资在持有期间取得的利息收入</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其他债权投资在持有期间取得的利息收入</w:t>
      </w:r>
    </w:p>
    <w:p>
      <w:pPr>
        <w:framePr w:w="4464" w:x="1798" w:y="72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处置交易性金融资产取得的投资收益</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处置其他权益工具投资取得的投资收益</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处置债权投资取得的投资收益</w:t>
      </w:r>
    </w:p>
    <w:p>
      <w:pPr>
        <w:framePr w:w="4464" w:x="1798" w:y="725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处置其他债权投资取得的投资收益</w:t>
      </w:r>
    </w:p>
    <w:p>
      <w:pPr>
        <w:framePr w:w="4464" w:x="1798" w:y="725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理财产品取得的投资收益</w:t>
      </w:r>
    </w:p>
    <w:p>
      <w:pPr>
        <w:framePr w:w="1613" w:x="7132" w:y="1007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4,178,652.09</w:t>
      </w:r>
    </w:p>
    <w:p>
      <w:pPr>
        <w:framePr w:w="1613" w:x="7132" w:y="100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-1,637,969.58</w:t>
      </w:r>
    </w:p>
    <w:p>
      <w:pPr>
        <w:framePr w:w="1613" w:x="7132" w:y="10078"/>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2,540,682.51</w:t>
      </w:r>
    </w:p>
    <w:p>
      <w:pPr>
        <w:framePr w:w="1613" w:x="9266" w:y="1007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1,582,283.60</w:t>
      </w:r>
    </w:p>
    <w:p>
      <w:pPr>
        <w:framePr w:w="1613" w:x="9266" w:y="1007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-1,783,566.37</w:t>
      </w:r>
    </w:p>
    <w:p>
      <w:pPr>
        <w:framePr w:w="1613" w:x="9266" w:y="10078"/>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-201,282.77</w:t>
      </w:r>
    </w:p>
    <w:p>
      <w:pPr>
        <w:framePr w:w="1718" w:x="1798" w:y="103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锁汇、期权收益</w:t>
      </w:r>
    </w:p>
    <w:p>
      <w:pPr>
        <w:framePr w:w="662" w:x="3730" w:y="106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110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1062"/>
        <w:widowControl w:val="0"/>
        <w:autoSpaceDE w:val="0"/>
        <w:autoSpaceDN w:val="0"/>
        <w:spacing w:before="13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222" w:x="1798" w:y="120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净敞口套期收益</w:t>
      </w:r>
    </w:p>
    <w:p>
      <w:pPr>
        <w:framePr w:w="1817" w:x="1798" w:y="124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34" w:x="1798" w:y="128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公允价值变动收益</w:t>
      </w:r>
    </w:p>
    <w:p>
      <w:pPr>
        <w:framePr w:w="1817" w:x="1798" w:y="132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138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信用减值损失</w:t>
      </w:r>
    </w:p>
    <w:p>
      <w:pPr>
        <w:framePr w:w="1817" w:x="1798" w:y="142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4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4490"/>
        <w:widowControl w:val="0"/>
        <w:autoSpaceDE w:val="0"/>
        <w:autoSpaceDN w:val="0"/>
        <w:spacing w:before="70" w:line="211" w:lineRule="exact"/>
        <w:ind w:left="4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164" w:y="14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79" w:x="5951" w:y="14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2079" w:x="5951" w:y="14771"/>
        <w:widowControl w:val="0"/>
        <w:autoSpaceDE w:val="0"/>
        <w:autoSpaceDN w:val="0"/>
        <w:spacing w:before="77" w:line="211" w:lineRule="exact"/>
        <w:ind w:left="89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60,231.51</w:t>
      </w:r>
    </w:p>
    <w:p>
      <w:pPr>
        <w:framePr w:w="2141" w:x="1798" w:y="150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其他应收款坏账损失</w:t>
      </w:r>
    </w:p>
    <w:p>
      <w:pPr>
        <w:framePr w:w="1402" w:x="9477" w:y="150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-155,093.62</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95" type="#_x0000_t75" style="width:445.6pt;height:2.7pt;margin-top:53.65pt;margin-left:87.45pt;mso-position-horizontal-relative:page;mso-position-vertical-relative:page;position:absolute;z-index:-251320320">
            <v:imagedata r:id="rId233" o:title=""/>
          </v:shape>
        </w:pict>
      </w:r>
      <w:r>
        <w:rPr>
          <w:noProof/>
        </w:rPr>
        <w:pict>
          <v:shape id="_x0000_s1296" type="#_x0000_t75" style="width:454.95pt;height:171.95pt;margin-top:74.3pt;margin-left:83.25pt;mso-position-horizontal-relative:page;mso-position-vertical-relative:page;position:absolute;z-index:-251357184">
            <v:imagedata r:id="rId234" o:title=""/>
          </v:shape>
        </w:pict>
      </w:r>
      <w:r>
        <w:rPr>
          <w:noProof/>
        </w:rPr>
        <w:pict>
          <v:shape id="_x0000_s1297" type="#_x0000_t75" style="width:454.95pt;height:200.15pt;margin-top:345.65pt;margin-left:83.25pt;mso-position-horizontal-relative:page;mso-position-vertical-relative:page;position:absolute;z-index:-251425792">
            <v:imagedata r:id="rId235" o:title=""/>
          </v:shape>
        </w:pict>
      </w:r>
      <w:r>
        <w:rPr>
          <w:noProof/>
        </w:rPr>
        <w:pict>
          <v:shape id="_x0000_s1298" type="#_x0000_t75" style="width:454.95pt;height:31.3pt;margin-top:735.6pt;margin-left:83.25pt;mso-position-horizontal-relative:page;mso-position-vertical-relative:page;position:absolute;z-index:-251535360">
            <v:imagedata r:id="rId236" o:title=""/>
          </v:shape>
        </w:pict>
      </w:r>
    </w:p>
    <w:p>
      <w:pPr>
        <w:spacing w:line="0" w:lineRule="atLeast"/>
        <w:rPr>
          <w:rFonts w:ascii="Arial" w:eastAsiaTheme="minorEastAsia" w:hAnsiTheme="minorHAnsi" w:cstheme="minorBidi"/>
          <w:color w:val="FF0000"/>
          <w:sz w:val="2"/>
          <w:szCs w:val="22"/>
          <w:lang w:val="en-US" w:eastAsia="en-US" w:bidi="ar-SA"/>
        </w:rPr>
      </w:pPr>
      <w:bookmarkStart w:id="121" w:name="br1_120"/>
      <w:bookmarkEnd w:id="12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2" w:x="1798"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债权投资减值损失</w:t>
      </w:r>
    </w:p>
    <w:p>
      <w:pPr>
        <w:framePr w:w="2352" w:x="1798"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其他债权投资减值损失</w:t>
      </w:r>
    </w:p>
    <w:p>
      <w:pPr>
        <w:framePr w:w="2352" w:x="1798" w:y="155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长期应收款坏账损失</w:t>
      </w:r>
    </w:p>
    <w:p>
      <w:pPr>
        <w:framePr w:w="2352" w:x="1798" w:y="155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合同资产减值损失</w:t>
      </w:r>
    </w:p>
    <w:p>
      <w:pPr>
        <w:framePr w:w="2352" w:x="1798" w:y="155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应收账款坏账损失</w:t>
      </w:r>
    </w:p>
    <w:p>
      <w:pPr>
        <w:framePr w:w="2352" w:x="1798" w:y="1553"/>
        <w:widowControl w:val="0"/>
        <w:autoSpaceDE w:val="0"/>
        <w:autoSpaceDN w:val="0"/>
        <w:spacing w:before="74" w:line="211" w:lineRule="exact"/>
        <w:ind w:left="136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421" w:y="27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-5,017,024.42</w:t>
      </w:r>
    </w:p>
    <w:p>
      <w:pPr>
        <w:framePr w:w="1613" w:x="6421" w:y="2702"/>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-4,956,792.91</w:t>
      </w:r>
    </w:p>
    <w:p>
      <w:pPr>
        <w:framePr w:w="1613" w:x="9266" w:y="270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-1,871,639.07</w:t>
      </w:r>
    </w:p>
    <w:p>
      <w:pPr>
        <w:framePr w:w="1613" w:x="9266" w:y="2702"/>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-2,026,732.69</w:t>
      </w:r>
    </w:p>
    <w:p>
      <w:pPr>
        <w:framePr w:w="1296" w:x="1798" w:y="3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35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011" w:x="1798" w:y="41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资产减值损失</w:t>
      </w:r>
    </w:p>
    <w:p>
      <w:pPr>
        <w:framePr w:w="1817" w:x="1798" w:y="44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4752"/>
        <w:widowControl w:val="0"/>
        <w:autoSpaceDE w:val="0"/>
        <w:autoSpaceDN w:val="0"/>
        <w:spacing w:before="72" w:line="211" w:lineRule="exact"/>
        <w:ind w:left="355"/>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042" w:x="1798" w:y="5035"/>
        <w:widowControl w:val="0"/>
        <w:autoSpaceDE w:val="0"/>
        <w:autoSpaceDN w:val="0"/>
        <w:spacing w:line="211" w:lineRule="exact"/>
        <w:ind w:left="138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42" w:x="1798" w:y="5035"/>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一、坏账损失</w:t>
      </w:r>
    </w:p>
    <w:p>
      <w:pPr>
        <w:framePr w:w="1947" w:x="5850" w:y="5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947" w:x="5850" w:y="5035"/>
        <w:widowControl w:val="0"/>
        <w:autoSpaceDE w:val="0"/>
        <w:autoSpaceDN w:val="0"/>
        <w:spacing w:before="353" w:line="211" w:lineRule="exact"/>
        <w:ind w:left="6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512,887.17</w:t>
      </w:r>
    </w:p>
    <w:p>
      <w:pPr>
        <w:framePr w:w="3408" w:x="1798" w:y="55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二、存货跌价损失及合同履约成本</w:t>
      </w:r>
    </w:p>
    <w:p>
      <w:pPr>
        <w:framePr w:w="3408" w:x="1798" w:y="559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减值损失</w:t>
      </w:r>
    </w:p>
    <w:p>
      <w:pPr>
        <w:framePr w:w="1507" w:x="9372" w:y="559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1,087,271.94</w:t>
      </w:r>
    </w:p>
    <w:p>
      <w:pPr>
        <w:framePr w:w="2986" w:x="1798" w:y="61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三、长期股权投资减值损失</w:t>
      </w:r>
    </w:p>
    <w:p>
      <w:pPr>
        <w:framePr w:w="2986" w:x="1798" w:y="61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四、投资性房地产减值损失</w:t>
      </w:r>
    </w:p>
    <w:p>
      <w:pPr>
        <w:framePr w:w="2986" w:x="1798" w:y="61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五、固定资产减值损失</w:t>
      </w:r>
    </w:p>
    <w:p>
      <w:pPr>
        <w:framePr w:w="2986" w:x="1798" w:y="61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六、工程物资减值损失</w:t>
      </w:r>
    </w:p>
    <w:p>
      <w:pPr>
        <w:framePr w:w="2986" w:x="1798" w:y="61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七、在建工程减值损失</w:t>
      </w:r>
    </w:p>
    <w:p>
      <w:pPr>
        <w:framePr w:w="2986" w:x="1798" w:y="61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八、生产性生物资产减值损失</w:t>
      </w:r>
    </w:p>
    <w:p>
      <w:pPr>
        <w:framePr w:w="2986" w:x="1798" w:y="61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九、油气资产减值损失</w:t>
      </w:r>
    </w:p>
    <w:p>
      <w:pPr>
        <w:framePr w:w="2986" w:x="1798" w:y="61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十、无形资产减值损失</w:t>
      </w:r>
    </w:p>
    <w:p>
      <w:pPr>
        <w:framePr w:w="2986" w:x="1798" w:y="615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十一、商誉减值损失</w:t>
      </w:r>
    </w:p>
    <w:p>
      <w:pPr>
        <w:framePr w:w="2986" w:x="1798" w:y="615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十二、其他</w:t>
      </w:r>
    </w:p>
    <w:p>
      <w:pPr>
        <w:framePr w:w="662" w:x="3178" w:y="89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6503" w:y="89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512,887.17</w:t>
      </w:r>
    </w:p>
    <w:p>
      <w:pPr>
        <w:framePr w:w="1507" w:x="9372" w:y="89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1,087,271.94</w:t>
      </w:r>
    </w:p>
    <w:p>
      <w:pPr>
        <w:framePr w:w="1296" w:x="1798" w:y="9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932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011" w:x="1798" w:y="102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资产处置收益</w:t>
      </w:r>
    </w:p>
    <w:p>
      <w:pPr>
        <w:framePr w:w="1817" w:x="1798" w:y="10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08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0863"/>
        <w:widowControl w:val="0"/>
        <w:autoSpaceDE w:val="0"/>
        <w:autoSpaceDN w:val="0"/>
        <w:spacing w:before="70" w:line="211" w:lineRule="exact"/>
        <w:ind w:left="3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563" w:x="1798" w:y="11144"/>
        <w:widowControl w:val="0"/>
        <w:autoSpaceDE w:val="0"/>
        <w:autoSpaceDN w:val="0"/>
        <w:spacing w:line="211" w:lineRule="exact"/>
        <w:ind w:left="119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563" w:x="1798" w:y="1114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固定资产处置利得或损失</w:t>
      </w:r>
    </w:p>
    <w:p>
      <w:pPr>
        <w:framePr w:w="2563" w:x="1798" w:y="11144"/>
        <w:widowControl w:val="0"/>
        <w:autoSpaceDE w:val="0"/>
        <w:autoSpaceDN w:val="0"/>
        <w:spacing w:before="72" w:line="211" w:lineRule="exact"/>
        <w:ind w:left="119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5687" w:y="111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6563" w:y="1142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122,366.47</w:t>
      </w:r>
    </w:p>
    <w:p>
      <w:pPr>
        <w:framePr w:w="1296" w:x="6563" w:y="11427"/>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122,366.47</w:t>
      </w:r>
    </w:p>
    <w:p>
      <w:pPr>
        <w:framePr w:w="1296" w:x="1798" w:y="122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00" w:x="1798" w:y="132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营业外收入</w:t>
      </w:r>
    </w:p>
    <w:p>
      <w:pPr>
        <w:framePr w:w="1817" w:x="1798" w:y="136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8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883"/>
        <w:widowControl w:val="0"/>
        <w:autoSpaceDE w:val="0"/>
        <w:autoSpaceDN w:val="0"/>
        <w:spacing w:before="7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计入当期非经常性损益</w:t>
      </w:r>
    </w:p>
    <w:p>
      <w:pPr>
        <w:framePr w:w="2554" w:x="8320" w:y="13883"/>
        <w:widowControl w:val="0"/>
        <w:autoSpaceDE w:val="0"/>
        <w:autoSpaceDN w:val="0"/>
        <w:spacing w:before="60" w:line="211" w:lineRule="exact"/>
        <w:ind w:left="94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p>
    <w:p>
      <w:pPr>
        <w:framePr w:w="662" w:x="2808" w:y="14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4703" w:y="14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6738" w:y="14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563" w:x="1798" w:y="147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非流动资产处置利得合计</w:t>
      </w:r>
    </w:p>
    <w:p>
      <w:pPr>
        <w:framePr w:w="2563" w:x="1798" w:y="1472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其中：固定资产处置利得</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299" type="#_x0000_t75" style="width:445.6pt;height:2.7pt;margin-top:53.65pt;margin-left:87.45pt;mso-position-horizontal-relative:page;mso-position-vertical-relative:page;position:absolute;z-index:-251304960">
            <v:imagedata r:id="rId237" o:title=""/>
          </v:shape>
        </w:pict>
      </w:r>
      <w:r>
        <w:rPr>
          <w:noProof/>
        </w:rPr>
        <w:pict>
          <v:shape id="_x0000_s1300" type="#_x0000_t75" style="width:454.95pt;height:88.8pt;margin-top:74.3pt;margin-left:83.25pt;mso-position-horizontal-relative:page;mso-position-vertical-relative:page;position:absolute;z-index:-251319296">
            <v:imagedata r:id="rId238" o:title=""/>
          </v:shape>
        </w:pict>
      </w:r>
      <w:r>
        <w:rPr>
          <w:noProof/>
        </w:rPr>
        <w:pict>
          <v:shape id="_x0000_s1301" type="#_x0000_t75" style="width:454.95pt;height:213.75pt;margin-top:248.8pt;margin-left:83.25pt;mso-position-horizontal-relative:page;mso-position-vertical-relative:page;position:absolute;z-index:-251356160">
            <v:imagedata r:id="rId239" o:title=""/>
          </v:shape>
        </w:pict>
      </w:r>
      <w:r>
        <w:rPr>
          <w:noProof/>
        </w:rPr>
        <w:pict>
          <v:shape id="_x0000_s1302" type="#_x0000_t75" style="width:454.95pt;height:44.85pt;margin-top:554.25pt;margin-left:83.25pt;mso-position-horizontal-relative:page;mso-position-vertical-relative:page;position:absolute;z-index:-251424768">
            <v:imagedata r:id="rId240" o:title=""/>
          </v:shape>
        </w:pict>
      </w:r>
      <w:r>
        <w:rPr>
          <w:noProof/>
        </w:rPr>
        <w:pict>
          <v:shape id="_x0000_s1303" type="#_x0000_t75" style="width:454.95pt;height:58.5pt;margin-top:705.2pt;margin-left:83.25pt;mso-position-horizontal-relative:page;mso-position-vertical-relative:page;position:absolute;z-index:-251534336">
            <v:imagedata r:id="rId241" o:title=""/>
          </v:shape>
        </w:pict>
      </w:r>
    </w:p>
    <w:p>
      <w:pPr>
        <w:spacing w:line="0" w:lineRule="atLeast"/>
        <w:rPr>
          <w:rFonts w:ascii="Arial" w:eastAsiaTheme="minorEastAsia" w:hAnsiTheme="minorHAnsi" w:cstheme="minorBidi"/>
          <w:color w:val="FF0000"/>
          <w:sz w:val="2"/>
          <w:szCs w:val="22"/>
          <w:lang w:val="en-US" w:eastAsia="en-US" w:bidi="ar-SA"/>
        </w:rPr>
      </w:pPr>
      <w:bookmarkStart w:id="122" w:name="br1_121"/>
      <w:bookmarkEnd w:id="12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554" w:x="1798" w:y="1547"/>
        <w:widowControl w:val="0"/>
        <w:autoSpaceDE w:val="0"/>
        <w:autoSpaceDN w:val="0"/>
        <w:spacing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无形资产处置利得</w:t>
      </w:r>
    </w:p>
    <w:p>
      <w:pPr>
        <w:framePr w:w="2554"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债务重组利得</w:t>
      </w:r>
    </w:p>
    <w:p>
      <w:pPr>
        <w:framePr w:w="2352"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非货币性资产交换利得</w:t>
      </w:r>
    </w:p>
    <w:p>
      <w:pPr>
        <w:framePr w:w="2352" w:x="1798" w:y="211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接受捐赠</w:t>
      </w:r>
    </w:p>
    <w:p>
      <w:pPr>
        <w:framePr w:w="1085" w:x="1798"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w:t>
      </w:r>
    </w:p>
    <w:p>
      <w:pPr>
        <w:framePr w:w="1718" w:x="1798"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往来款清理</w:t>
      </w:r>
    </w:p>
    <w:p>
      <w:pPr>
        <w:framePr w:w="1718" w:x="1798" w:y="295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赔偿、罚款收入</w:t>
      </w:r>
    </w:p>
    <w:p>
      <w:pPr>
        <w:framePr w:w="1718" w:x="1798" w:y="295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190" w:x="7369"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36,169.15</w:t>
      </w:r>
    </w:p>
    <w:p>
      <w:pPr>
        <w:framePr w:w="1190" w:x="7369" w:y="295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35,427.50</w:t>
      </w:r>
    </w:p>
    <w:p>
      <w:pPr>
        <w:framePr w:w="1190" w:x="7369" w:y="295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18,443.55</w:t>
      </w:r>
    </w:p>
    <w:p>
      <w:pPr>
        <w:framePr w:w="1190" w:x="7369" w:y="2959"/>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90,040.20</w:t>
      </w:r>
    </w:p>
    <w:p>
      <w:pPr>
        <w:framePr w:w="1190" w:x="5053"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24,595.00</w:t>
      </w:r>
    </w:p>
    <w:p>
      <w:pPr>
        <w:framePr w:w="1190" w:x="9686" w:y="324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24,595.00</w:t>
      </w:r>
    </w:p>
    <w:p>
      <w:pPr>
        <w:framePr w:w="1190" w:x="9686" w:y="32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44,978.24</w:t>
      </w:r>
    </w:p>
    <w:p>
      <w:pPr>
        <w:framePr w:w="1190" w:x="9686" w:y="3240"/>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69,573.24</w:t>
      </w:r>
    </w:p>
    <w:p>
      <w:pPr>
        <w:framePr w:w="1190" w:x="5053" w:y="35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44,978.24</w:t>
      </w:r>
    </w:p>
    <w:p>
      <w:pPr>
        <w:framePr w:w="1190" w:x="5053" w:y="352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69,573.24</w:t>
      </w:r>
    </w:p>
    <w:p>
      <w:pPr>
        <w:framePr w:w="662" w:x="2808" w:y="3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563" w:x="1798" w:y="4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计入当期损益的政府补助</w:t>
      </w:r>
    </w:p>
    <w:p>
      <w:pPr>
        <w:framePr w:w="1817" w:x="1798" w:y="4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4769"/>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54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00" w:x="1798" w:y="6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营业外支出</w:t>
      </w:r>
    </w:p>
    <w:p>
      <w:pPr>
        <w:framePr w:w="1817" w:x="1798" w:y="63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6" w:x="8320" w:y="66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6" w:x="8320" w:y="6660"/>
        <w:widowControl w:val="0"/>
        <w:autoSpaceDE w:val="0"/>
        <w:autoSpaceDN w:val="0"/>
        <w:spacing w:before="70" w:line="211" w:lineRule="exact"/>
        <w:ind w:left="21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计入当期非经常性损益</w:t>
      </w:r>
    </w:p>
    <w:p>
      <w:pPr>
        <w:framePr w:w="2556" w:x="8320" w:y="6660"/>
        <w:widowControl w:val="0"/>
        <w:autoSpaceDE w:val="0"/>
        <w:autoSpaceDN w:val="0"/>
        <w:spacing w:before="62" w:line="211" w:lineRule="exact"/>
        <w:ind w:left="21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的金额</w:t>
      </w:r>
    </w:p>
    <w:p>
      <w:pPr>
        <w:framePr w:w="662" w:x="1195" w:y="7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3826" w:y="7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296" w:x="6203" w:y="70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563" w:x="1195" w:y="74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非流动资产处置损失合计</w:t>
      </w:r>
    </w:p>
    <w:p>
      <w:pPr>
        <w:framePr w:w="2563" w:x="1195" w:y="749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其中：固定资产处置损失</w:t>
      </w:r>
    </w:p>
    <w:p>
      <w:pPr>
        <w:framePr w:w="2563" w:x="1195" w:y="7495"/>
        <w:widowControl w:val="0"/>
        <w:autoSpaceDE w:val="0"/>
        <w:autoSpaceDN w:val="0"/>
        <w:spacing w:before="72" w:line="211" w:lineRule="exact"/>
        <w:ind w:left="63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无形资产处置损失</w:t>
      </w:r>
    </w:p>
    <w:p>
      <w:pPr>
        <w:framePr w:w="2563" w:x="1195" w:y="749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债务重组损失</w:t>
      </w:r>
    </w:p>
    <w:p>
      <w:pPr>
        <w:framePr w:w="1507" w:x="4727" w:y="74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1,238,366.56</w:t>
      </w:r>
    </w:p>
    <w:p>
      <w:pPr>
        <w:framePr w:w="1507" w:x="4727" w:y="74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1,238,366.56</w:t>
      </w:r>
    </w:p>
    <w:p>
      <w:pPr>
        <w:framePr w:w="1296" w:x="7266" w:y="74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484,304.34</w:t>
      </w:r>
    </w:p>
    <w:p>
      <w:pPr>
        <w:framePr w:w="1296" w:x="7266" w:y="749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484,304.34</w:t>
      </w:r>
    </w:p>
    <w:p>
      <w:pPr>
        <w:framePr w:w="1507" w:x="9374" w:y="74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1,238,366.56</w:t>
      </w:r>
    </w:p>
    <w:p>
      <w:pPr>
        <w:framePr w:w="1507" w:x="9374" w:y="77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1,238,366.56</w:t>
      </w:r>
    </w:p>
    <w:p>
      <w:pPr>
        <w:framePr w:w="2352" w:x="1195" w:y="86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非货币性资产交换损失</w:t>
      </w:r>
    </w:p>
    <w:p>
      <w:pPr>
        <w:framePr w:w="2352" w:x="1195" w:y="862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对外捐赠</w:t>
      </w:r>
    </w:p>
    <w:p>
      <w:pPr>
        <w:framePr w:w="1613" w:x="4621" w:y="8909"/>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157,132.00</w:t>
      </w:r>
    </w:p>
    <w:p>
      <w:pPr>
        <w:framePr w:w="1613" w:x="4621" w:y="890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14,488,257.15</w:t>
      </w:r>
    </w:p>
    <w:p>
      <w:pPr>
        <w:framePr w:w="1613" w:x="4621" w:y="8909"/>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62,208.81</w:t>
      </w:r>
    </w:p>
    <w:p>
      <w:pPr>
        <w:framePr w:w="1613" w:x="9268" w:y="8909"/>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157,132.00</w:t>
      </w:r>
    </w:p>
    <w:p>
      <w:pPr>
        <w:framePr w:w="1613" w:x="9268" w:y="890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14,488,257.15</w:t>
      </w:r>
    </w:p>
    <w:p>
      <w:pPr>
        <w:framePr w:w="1613" w:x="9268" w:y="8909"/>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62,208.81</w:t>
      </w:r>
    </w:p>
    <w:p>
      <w:pPr>
        <w:framePr w:w="1507" w:x="1195" w:y="91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财产预估损失</w:t>
      </w:r>
    </w:p>
    <w:p>
      <w:pPr>
        <w:framePr w:w="662" w:x="1195" w:y="94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296" w:x="7266" w:y="94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193,706.91</w:t>
      </w:r>
    </w:p>
    <w:p>
      <w:pPr>
        <w:framePr w:w="1296" w:x="7266" w:y="9473"/>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678,011.25</w:t>
      </w:r>
    </w:p>
    <w:p>
      <w:pPr>
        <w:framePr w:w="662" w:x="1195" w:y="9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4621" w:y="97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15,945,964.52</w:t>
      </w:r>
    </w:p>
    <w:p>
      <w:pPr>
        <w:framePr w:w="1613" w:x="9268" w:y="97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15,945,964.52</w:t>
      </w:r>
    </w:p>
    <w:p>
      <w:pPr>
        <w:framePr w:w="1296" w:x="1798" w:y="103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5731" w:x="1798" w:y="107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财产预估损失为预估辽宁先达火灾爆炸事故所造成的损失。</w:t>
      </w:r>
    </w:p>
    <w:p>
      <w:pPr>
        <w:framePr w:w="1932" w:x="1798" w:y="11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所得税费用</w:t>
      </w:r>
    </w:p>
    <w:p>
      <w:pPr>
        <w:framePr w:w="1932" w:x="1798" w:y="11307"/>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所得税费用表</w:t>
      </w:r>
    </w:p>
    <w:p>
      <w:pPr>
        <w:framePr w:w="1932" w:x="1798" w:y="11307"/>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22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2246"/>
        <w:widowControl w:val="0"/>
        <w:autoSpaceDE w:val="0"/>
        <w:autoSpaceDN w:val="0"/>
        <w:spacing w:before="70" w:line="211" w:lineRule="exact"/>
        <w:ind w:left="3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997" w:x="1798" w:y="12527"/>
        <w:widowControl w:val="0"/>
        <w:autoSpaceDE w:val="0"/>
        <w:autoSpaceDN w:val="0"/>
        <w:spacing w:line="211" w:lineRule="exact"/>
        <w:ind w:left="133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997" w:x="1798" w:y="125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当期所得税费用</w:t>
      </w:r>
    </w:p>
    <w:p>
      <w:pPr>
        <w:framePr w:w="1997" w:x="1798" w:y="1252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递延所得税费用</w:t>
      </w:r>
    </w:p>
    <w:p>
      <w:pPr>
        <w:framePr w:w="1997" w:x="1798" w:y="12527"/>
        <w:widowControl w:val="0"/>
        <w:autoSpaceDE w:val="0"/>
        <w:autoSpaceDN w:val="0"/>
        <w:spacing w:before="72" w:line="211" w:lineRule="exact"/>
        <w:ind w:left="133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179" w:x="5833" w:y="12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2179" w:x="5833" w:y="12527"/>
        <w:widowControl w:val="0"/>
        <w:autoSpaceDE w:val="0"/>
        <w:autoSpaceDN w:val="0"/>
        <w:spacing w:before="72" w:line="211" w:lineRule="exact"/>
        <w:ind w:left="57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28,372,637.82</w:t>
      </w:r>
    </w:p>
    <w:p>
      <w:pPr>
        <w:framePr w:w="1613" w:x="9261" w:y="1281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26,330,182.50</w:t>
      </w:r>
    </w:p>
    <w:p>
      <w:pPr>
        <w:framePr w:w="1613" w:x="9261" w:y="12810"/>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3,770,233.39</w:t>
      </w:r>
    </w:p>
    <w:p>
      <w:pPr>
        <w:framePr w:w="1616" w:x="6397" w:y="130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-1,533,710.71</w:t>
      </w:r>
    </w:p>
    <w:p>
      <w:pPr>
        <w:framePr w:w="1616" w:x="6397" w:y="13091"/>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26,838,927.11</w:t>
      </w:r>
    </w:p>
    <w:p>
      <w:pPr>
        <w:framePr w:w="1613" w:x="9261" w:y="133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30,100,415.89</w:t>
      </w:r>
    </w:p>
    <w:p>
      <w:pPr>
        <w:framePr w:w="3617" w:x="1798" w:y="139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会计利润与所得税费用调整过程</w:t>
      </w:r>
    </w:p>
    <w:p>
      <w:pPr>
        <w:framePr w:w="1817" w:x="1798" w:y="143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14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662" w:x="4194" w:y="148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8325" w:y="148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04" type="#_x0000_t75" style="width:445.6pt;height:2.7pt;margin-top:53.65pt;margin-left:87.45pt;mso-position-horizontal-relative:page;mso-position-vertical-relative:page;position:absolute;z-index:-251303936">
            <v:imagedata r:id="rId242" o:title=""/>
          </v:shape>
        </w:pict>
      </w:r>
      <w:r>
        <w:rPr>
          <w:noProof/>
        </w:rPr>
        <w:pict>
          <v:shape id="_x0000_s1305" type="#_x0000_t75" style="width:454.95pt;height:129.6pt;margin-top:74.3pt;margin-left:83.25pt;mso-position-horizontal-relative:page;mso-position-vertical-relative:page;position:absolute;z-index:-251318272">
            <v:imagedata r:id="rId243" o:title=""/>
          </v:shape>
        </w:pict>
      </w:r>
      <w:r>
        <w:rPr>
          <w:noProof/>
        </w:rPr>
        <w:pict>
          <v:shape id="_x0000_s1306" type="#_x0000_t75" style="width:485.1pt;height:157.3pt;margin-top:344.1pt;margin-left:53.25pt;mso-position-horizontal-relative:page;mso-position-vertical-relative:page;position:absolute;z-index:-251355136">
            <v:imagedata r:id="rId244" o:title=""/>
          </v:shape>
        </w:pict>
      </w:r>
      <w:r>
        <w:rPr>
          <w:noProof/>
        </w:rPr>
        <w:pict>
          <v:shape id="_x0000_s1307" type="#_x0000_t75" style="width:447.3pt;height:59pt;margin-top:623.4pt;margin-left:87.1pt;mso-position-horizontal-relative:page;mso-position-vertical-relative:page;position:absolute;z-index:-251423744">
            <v:imagedata r:id="rId245" o:title=""/>
          </v:shape>
        </w:pict>
      </w:r>
      <w:r>
        <w:rPr>
          <w:noProof/>
        </w:rPr>
        <w:pict>
          <v:shape id="_x0000_s1308" type="#_x0000_t75" style="width:447.15pt;height:16.5pt;margin-top:740.85pt;margin-left:87.1pt;mso-position-horizontal-relative:page;mso-position-vertical-relative:page;position:absolute;z-index:-251533312">
            <v:imagedata r:id="rId246" o:title=""/>
          </v:shape>
        </w:pict>
      </w:r>
    </w:p>
    <w:p>
      <w:pPr>
        <w:spacing w:line="0" w:lineRule="atLeast"/>
        <w:rPr>
          <w:rFonts w:ascii="Arial" w:eastAsiaTheme="minorEastAsia" w:hAnsiTheme="minorHAnsi" w:cstheme="minorBidi"/>
          <w:color w:val="FF0000"/>
          <w:sz w:val="2"/>
          <w:szCs w:val="22"/>
          <w:lang w:val="en-US" w:eastAsia="en-US" w:bidi="ar-SA"/>
        </w:rPr>
      </w:pPr>
      <w:bookmarkStart w:id="123" w:name="br1_122"/>
      <w:bookmarkEnd w:id="12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5"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利润总额</w:t>
      </w:r>
    </w:p>
    <w:p>
      <w:pPr>
        <w:framePr w:w="1718" w:x="915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122,694,017.58</w:t>
      </w:r>
    </w:p>
    <w:p>
      <w:pPr>
        <w:framePr w:w="1718" w:x="9156" w:y="1547"/>
        <w:widowControl w:val="0"/>
        <w:autoSpaceDE w:val="0"/>
        <w:autoSpaceDN w:val="0"/>
        <w:spacing w:before="75"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18,404,102.64</w:t>
      </w:r>
    </w:p>
    <w:p>
      <w:pPr>
        <w:framePr w:w="1718" w:x="9156" w:y="1547"/>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-2,177,727.80</w:t>
      </w:r>
    </w:p>
    <w:p>
      <w:pPr>
        <w:framePr w:w="3514" w:x="1798" w:y="1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按法定</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适用税率计算的所得税费用</w:t>
      </w:r>
    </w:p>
    <w:p>
      <w:pPr>
        <w:framePr w:w="3514" w:x="1798" w:y="183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子公司适用不同税率的影响</w:t>
      </w:r>
    </w:p>
    <w:p>
      <w:pPr>
        <w:framePr w:w="3514" w:x="1798" w:y="183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调整以前期间所得税的影响</w:t>
      </w:r>
    </w:p>
    <w:p>
      <w:pPr>
        <w:framePr w:w="3514" w:x="1798" w:y="183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非应税收入的影响</w:t>
      </w:r>
    </w:p>
    <w:p>
      <w:pPr>
        <w:framePr w:w="3619" w:x="1798" w:y="29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不可抵扣的成本、费用和损失的影响</w:t>
      </w:r>
    </w:p>
    <w:p>
      <w:pPr>
        <w:framePr w:w="5309" w:x="1798" w:y="32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使用前期未确认递延所得税资产的可抵扣亏损的影响</w:t>
      </w:r>
    </w:p>
    <w:p>
      <w:pPr>
        <w:framePr w:w="5309" w:x="1798" w:y="3271"/>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本期未确认递延所得税资产的可抵扣暂时性差异或可抵</w:t>
      </w:r>
    </w:p>
    <w:p>
      <w:pPr>
        <w:framePr w:w="5309" w:x="1798" w:y="327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扣亏损的影响</w:t>
      </w:r>
    </w:p>
    <w:p>
      <w:pPr>
        <w:framePr w:w="1613" w:x="9261" w:y="35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10,612,552.27</w:t>
      </w:r>
    </w:p>
    <w:p>
      <w:pPr>
        <w:framePr w:w="1613" w:x="9261" w:y="3559"/>
        <w:widowControl w:val="0"/>
        <w:autoSpaceDE w:val="0"/>
        <w:autoSpaceDN w:val="0"/>
        <w:spacing w:before="34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26,838,927.11</w:t>
      </w:r>
    </w:p>
    <w:p>
      <w:pPr>
        <w:framePr w:w="1296" w:x="1798" w:y="41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所得税费用</w:t>
      </w:r>
    </w:p>
    <w:p>
      <w:pPr>
        <w:framePr w:w="1296" w:x="1798" w:y="47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50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011" w:x="1798" w:y="57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其他综合收益</w:t>
      </w:r>
    </w:p>
    <w:p>
      <w:pPr>
        <w:framePr w:w="1817" w:x="1798" w:y="6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22" w:x="1798" w:y="66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现金流量表项目</w:t>
      </w:r>
    </w:p>
    <w:p>
      <w:pPr>
        <w:framePr w:w="4104" w:x="1798" w:y="7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收到的其他与经营活动有关的现金</w:t>
      </w:r>
    </w:p>
    <w:p>
      <w:pPr>
        <w:framePr w:w="4104" w:x="1798" w:y="7003"/>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76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7608"/>
        <w:widowControl w:val="0"/>
        <w:autoSpaceDE w:val="0"/>
        <w:autoSpaceDN w:val="0"/>
        <w:spacing w:before="72" w:line="211" w:lineRule="exact"/>
        <w:ind w:left="43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231" w:y="7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127" w:x="5977" w:y="7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2127" w:x="5977" w:y="7891"/>
        <w:widowControl w:val="0"/>
        <w:autoSpaceDE w:val="0"/>
        <w:autoSpaceDN w:val="0"/>
        <w:spacing w:before="72" w:line="211" w:lineRule="exact"/>
        <w:ind w:left="62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1,323,775.90</w:t>
      </w:r>
    </w:p>
    <w:p>
      <w:pPr>
        <w:framePr w:w="1296" w:x="1798" w:y="8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利息收入</w:t>
      </w:r>
    </w:p>
    <w:p>
      <w:pPr>
        <w:framePr w:w="1296" w:x="1798" w:y="8175"/>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政府补助</w:t>
      </w:r>
    </w:p>
    <w:p>
      <w:pPr>
        <w:framePr w:w="1296" w:x="1798" w:y="8175"/>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保险赔偿款</w:t>
      </w:r>
    </w:p>
    <w:p>
      <w:pPr>
        <w:framePr w:w="1296" w:x="9580" w:y="81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659,495.33</w:t>
      </w:r>
    </w:p>
    <w:p>
      <w:pPr>
        <w:framePr w:w="1507" w:x="6601" w:y="84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1,616,451.50</w:t>
      </w:r>
    </w:p>
    <w:p>
      <w:pPr>
        <w:framePr w:w="1507" w:x="6601" w:y="84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3,500,000.00</w:t>
      </w:r>
    </w:p>
    <w:p>
      <w:pPr>
        <w:framePr w:w="1507" w:x="6601" w:y="8455"/>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1,480,356.61</w:t>
      </w:r>
    </w:p>
    <w:p>
      <w:pPr>
        <w:framePr w:w="1507" w:x="6601" w:y="8455"/>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7,920,584.01</w:t>
      </w:r>
    </w:p>
    <w:p>
      <w:pPr>
        <w:framePr w:w="1507" w:x="9372" w:y="84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1,314,775.00</w:t>
      </w:r>
    </w:p>
    <w:p>
      <w:pPr>
        <w:framePr w:w="2095" w:x="1798" w:y="90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往来款项及其他</w:t>
      </w:r>
    </w:p>
    <w:p>
      <w:pPr>
        <w:framePr w:w="2095" w:x="1798" w:y="9022"/>
        <w:widowControl w:val="0"/>
        <w:autoSpaceDE w:val="0"/>
        <w:autoSpaceDN w:val="0"/>
        <w:spacing w:before="70" w:line="211" w:lineRule="exact"/>
        <w:ind w:left="14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9580" w:y="90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967,056.36</w:t>
      </w:r>
    </w:p>
    <w:p>
      <w:pPr>
        <w:framePr w:w="1507" w:x="9372" w:y="93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2,941,326.69</w:t>
      </w:r>
    </w:p>
    <w:p>
      <w:pPr>
        <w:framePr w:w="4042" w:x="1798" w:y="99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收到的其他与经营活动有关的现金说明：</w:t>
      </w:r>
    </w:p>
    <w:p>
      <w:pPr>
        <w:framePr w:w="4042" w:x="1798" w:y="9918"/>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4104" w:x="1798" w:y="109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支付的其他与经营活动有关的现金</w:t>
      </w:r>
    </w:p>
    <w:p>
      <w:pPr>
        <w:framePr w:w="1817" w:x="1798" w:y="113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15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1595"/>
        <w:widowControl w:val="0"/>
        <w:autoSpaceDE w:val="0"/>
        <w:autoSpaceDN w:val="0"/>
        <w:spacing w:before="72" w:line="211" w:lineRule="exact"/>
        <w:ind w:left="422"/>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2095" w:x="1798" w:y="11878"/>
        <w:widowControl w:val="0"/>
        <w:autoSpaceDE w:val="0"/>
        <w:autoSpaceDN w:val="0"/>
        <w:spacing w:line="211" w:lineRule="exact"/>
        <w:ind w:left="143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2095" w:x="1798" w:y="11878"/>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费用性支出</w:t>
      </w:r>
    </w:p>
    <w:p>
      <w:pPr>
        <w:framePr w:w="1296" w:x="5967" w:y="11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1613" w:x="6479" w:y="121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66,447,958.99</w:t>
      </w:r>
    </w:p>
    <w:p>
      <w:pPr>
        <w:framePr w:w="1613" w:x="6479" w:y="1216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7,815,200.00</w:t>
      </w:r>
    </w:p>
    <w:p>
      <w:pPr>
        <w:framePr w:w="1613" w:x="9266" w:y="121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66,457,971.31</w:t>
      </w:r>
    </w:p>
    <w:p>
      <w:pPr>
        <w:framePr w:w="1613" w:x="9266" w:y="1216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19,438,864.85</w:t>
      </w:r>
    </w:p>
    <w:p>
      <w:pPr>
        <w:framePr w:w="1613" w:x="9266" w:y="12162"/>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p>
    <w:p>
      <w:pPr>
        <w:framePr w:w="2563" w:x="1798" w:y="124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备用金、押金、保证金等</w:t>
      </w:r>
    </w:p>
    <w:p>
      <w:pPr>
        <w:framePr w:w="2563" w:x="1798" w:y="1244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捐赠、罚款等</w:t>
      </w:r>
    </w:p>
    <w:p>
      <w:pPr>
        <w:framePr w:w="2563" w:x="1798" w:y="1244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往来及其他</w:t>
      </w:r>
    </w:p>
    <w:p>
      <w:pPr>
        <w:framePr w:w="1190" w:x="6899" w:y="130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74,654.65</w:t>
      </w:r>
    </w:p>
    <w:p>
      <w:pPr>
        <w:framePr w:w="1613" w:x="9266" w:y="13009"/>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2,103,104.51</w:t>
      </w:r>
    </w:p>
    <w:p>
      <w:pPr>
        <w:framePr w:w="1613" w:x="9266" w:y="13009"/>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88,049,940.67</w:t>
      </w:r>
    </w:p>
    <w:p>
      <w:pPr>
        <w:framePr w:w="662" w:x="3231" w:y="132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6479" w:y="132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74,337,813.64</w:t>
      </w:r>
    </w:p>
    <w:p>
      <w:pPr>
        <w:framePr w:w="4042" w:x="1798" w:y="13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支付的其他与经营活动有关的现金说明：</w:t>
      </w:r>
    </w:p>
    <w:p>
      <w:pPr>
        <w:framePr w:w="4042" w:x="1798" w:y="13904"/>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09" type="#_x0000_t75" style="width:445.6pt;height:2.7pt;margin-top:53.65pt;margin-left:87.45pt;mso-position-horizontal-relative:page;mso-position-vertical-relative:page;position:absolute;z-index:-251317248">
            <v:imagedata r:id="rId247" o:title=""/>
          </v:shape>
        </w:pict>
      </w:r>
      <w:r>
        <w:rPr>
          <w:noProof/>
        </w:rPr>
        <w:pict>
          <v:shape id="_x0000_s1310" type="#_x0000_t75" style="width:447.3pt;height:145.55pt;margin-top:74.3pt;margin-left:87.1pt;mso-position-horizontal-relative:page;mso-position-vertical-relative:page;position:absolute;z-index:-251354112">
            <v:imagedata r:id="rId248" o:title=""/>
          </v:shape>
        </w:pict>
      </w:r>
      <w:r>
        <w:rPr>
          <w:noProof/>
        </w:rPr>
        <w:pict>
          <v:shape id="_x0000_s1311" type="#_x0000_t75" style="width:447.3pt;height:87.2pt;margin-top:391.6pt;margin-left:87.1pt;mso-position-horizontal-relative:page;mso-position-vertical-relative:page;position:absolute;z-index:-251422720">
            <v:imagedata r:id="rId249" o:title=""/>
          </v:shape>
        </w:pict>
      </w:r>
      <w:r>
        <w:rPr>
          <w:noProof/>
        </w:rPr>
        <w:pict>
          <v:shape id="_x0000_s1312" type="#_x0000_t75" style="width:447.3pt;height:87.25pt;margin-top:590.95pt;margin-left:87.1pt;mso-position-horizontal-relative:page;mso-position-vertical-relative:page;position:absolute;z-index:-251532288">
            <v:imagedata r:id="rId250" o:title=""/>
          </v:shape>
        </w:pict>
      </w:r>
    </w:p>
    <w:p>
      <w:pPr>
        <w:spacing w:line="0" w:lineRule="atLeast"/>
        <w:rPr>
          <w:rFonts w:ascii="Arial" w:eastAsiaTheme="minorEastAsia" w:hAnsiTheme="minorHAnsi" w:cstheme="minorBidi"/>
          <w:color w:val="FF0000"/>
          <w:sz w:val="2"/>
          <w:szCs w:val="22"/>
          <w:lang w:val="en-US" w:eastAsia="en-US" w:bidi="ar-SA"/>
        </w:rPr>
      </w:pPr>
      <w:bookmarkStart w:id="124" w:name="br1_123"/>
      <w:bookmarkEnd w:id="12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413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收到的其他与投资活动有关的现金</w:t>
      </w:r>
    </w:p>
    <w:p>
      <w:pPr>
        <w:framePr w:w="1817" w:x="1798" w:y="2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130" w:x="179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2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支付的其他与投资活动有关的现金</w:t>
      </w:r>
    </w:p>
    <w:p>
      <w:pPr>
        <w:framePr w:w="1817"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34" w:x="1798" w:y="36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收到的其他与筹资活动有关的现金</w:t>
      </w:r>
    </w:p>
    <w:p>
      <w:pPr>
        <w:framePr w:w="1817" w:x="1798" w:y="41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34" w:x="1798" w:y="4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支付的其他与筹资活动有关的现金</w:t>
      </w:r>
    </w:p>
    <w:p>
      <w:pPr>
        <w:framePr w:w="1817" w:x="1798" w:y="52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45" w:x="1798" w:y="5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现金流量表补充资料</w:t>
      </w:r>
    </w:p>
    <w:p>
      <w:pPr>
        <w:framePr w:w="2645" w:x="1798" w:y="583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现金流量表补充资料</w:t>
      </w:r>
    </w:p>
    <w:p>
      <w:pPr>
        <w:framePr w:w="2645" w:x="1798" w:y="5830"/>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6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6768"/>
        <w:widowControl w:val="0"/>
        <w:autoSpaceDE w:val="0"/>
        <w:autoSpaceDN w:val="0"/>
        <w:spacing w:before="70" w:line="211" w:lineRule="exact"/>
        <w:ind w:left="100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上期金额</w:t>
      </w:r>
    </w:p>
    <w:p>
      <w:pPr>
        <w:framePr w:w="3936" w:x="1798" w:y="7049"/>
        <w:widowControl w:val="0"/>
        <w:autoSpaceDE w:val="0"/>
        <w:autoSpaceDN w:val="0"/>
        <w:spacing w:line="211" w:lineRule="exact"/>
        <w:ind w:left="179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补充资料</w:t>
      </w:r>
    </w:p>
    <w:p>
      <w:pPr>
        <w:framePr w:w="3936" w:x="1798" w:y="704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．将净利润调节为经营活动现金流量：</w:t>
      </w:r>
    </w:p>
    <w:p>
      <w:pPr>
        <w:framePr w:w="3936" w:x="1798" w:y="7049"/>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净利润</w:t>
      </w:r>
    </w:p>
    <w:p>
      <w:pPr>
        <w:framePr w:w="1085" w:x="7120" w:y="70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本期金额</w:t>
      </w:r>
    </w:p>
    <w:p>
      <w:pPr>
        <w:framePr w:w="1613" w:x="7273" w:y="7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95,855,090.47</w:t>
      </w:r>
    </w:p>
    <w:p>
      <w:pPr>
        <w:framePr w:w="1613" w:x="7273" w:y="7620"/>
        <w:widowControl w:val="0"/>
        <w:autoSpaceDE w:val="0"/>
        <w:autoSpaceDN w:val="0"/>
        <w:spacing w:before="74"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-512,887.17</w:t>
      </w:r>
    </w:p>
    <w:p>
      <w:pPr>
        <w:framePr w:w="1718" w:x="9160" w:y="762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127,105,343.83</w:t>
      </w:r>
    </w:p>
    <w:p>
      <w:pPr>
        <w:framePr w:w="1718" w:x="9160" w:y="7620"/>
        <w:widowControl w:val="0"/>
        <w:autoSpaceDE w:val="0"/>
        <w:autoSpaceDN w:val="0"/>
        <w:spacing w:before="74"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939,460.75</w:t>
      </w:r>
    </w:p>
    <w:p>
      <w:pPr>
        <w:framePr w:w="1930" w:x="1798" w:y="79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加：资产减值准备</w:t>
      </w:r>
    </w:p>
    <w:p>
      <w:pPr>
        <w:framePr w:w="1507" w:x="1798" w:y="81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信用减值损失</w:t>
      </w:r>
    </w:p>
    <w:p>
      <w:pPr>
        <w:framePr w:w="1613" w:x="7273" w:y="819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4,956,792.91</w:t>
      </w:r>
    </w:p>
    <w:p>
      <w:pPr>
        <w:framePr w:w="1613" w:x="7273" w:y="819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16,958,029.00</w:t>
      </w:r>
    </w:p>
    <w:p>
      <w:pPr>
        <w:framePr w:w="4675" w:x="1798" w:y="84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固定资产折旧、油气资产折耗、生产性生物资产</w:t>
      </w:r>
    </w:p>
    <w:p>
      <w:pPr>
        <w:framePr w:w="4675" w:x="1798" w:y="848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折旧</w:t>
      </w:r>
    </w:p>
    <w:p>
      <w:pPr>
        <w:framePr w:w="1613" w:x="9266" w:y="84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18,151,090.11</w:t>
      </w:r>
    </w:p>
    <w:p>
      <w:pPr>
        <w:framePr w:w="1613" w:x="9266" w:y="8482"/>
        <w:widowControl w:val="0"/>
        <w:autoSpaceDE w:val="0"/>
        <w:autoSpaceDN w:val="0"/>
        <w:spacing w:before="636"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1,402,887.42</w:t>
      </w:r>
    </w:p>
    <w:p>
      <w:pPr>
        <w:framePr w:w="1718" w:x="1798" w:y="9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使用权资产摊销</w:t>
      </w:r>
    </w:p>
    <w:p>
      <w:pPr>
        <w:framePr w:w="1507" w:x="1798" w:y="93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无形资产摊销</w:t>
      </w:r>
    </w:p>
    <w:p>
      <w:pPr>
        <w:framePr w:w="1507" w:x="7379" w:y="93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1,344,586.80</w:t>
      </w:r>
    </w:p>
    <w:p>
      <w:pPr>
        <w:framePr w:w="1507" w:x="7379" w:y="9329"/>
        <w:widowControl w:val="0"/>
        <w:autoSpaceDE w:val="0"/>
        <w:autoSpaceDN w:val="0"/>
        <w:spacing w:before="36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-122,366.47</w:t>
      </w:r>
    </w:p>
    <w:p>
      <w:pPr>
        <w:framePr w:w="1930" w:x="1798" w:y="96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长期待摊费用摊销</w:t>
      </w:r>
    </w:p>
    <w:p>
      <w:pPr>
        <w:framePr w:w="4675" w:x="1798" w:y="99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处置固定资产、无形资产和其他长期资产的损失</w:t>
      </w:r>
    </w:p>
    <w:p>
      <w:pPr>
        <w:framePr w:w="4675" w:x="1798" w:y="990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（收益以“－”号填列）</w:t>
      </w:r>
    </w:p>
    <w:p>
      <w:pPr>
        <w:framePr w:w="4675" w:x="1798" w:y="104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固定资产报废损失（收益以“－”号填列）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公允价值变动损失（收益以“－”号填列）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财务费用（收益以“－”号填列）</w:t>
      </w:r>
    </w:p>
    <w:p>
      <w:pPr>
        <w:framePr w:w="4675" w:x="1798" w:y="1046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投资损失（收益以“－”号填列）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递延所得税资产减少（增加以“－”号填列）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递延所得税负债增加（减少以“－”号填列）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存货的减少（增加以“－”号填列）</w:t>
      </w:r>
    </w:p>
    <w:p>
      <w:pPr>
        <w:framePr w:w="4675" w:x="1798" w:y="10462"/>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经营性应收项目的减少（增加以“－”号填列）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经营性应付项目的增加（减少以“－”号填列）</w:t>
      </w:r>
    </w:p>
    <w:p>
      <w:pPr>
        <w:framePr w:w="4675" w:x="1798" w:y="10462"/>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1613" w:x="7273" w:y="104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15,726,623.71</w:t>
      </w:r>
    </w:p>
    <w:p>
      <w:pPr>
        <w:framePr w:w="1613" w:x="7273" w:y="10462"/>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1,976,047.50</w:t>
      </w:r>
    </w:p>
    <w:p>
      <w:pPr>
        <w:framePr w:w="1613" w:x="7273" w:y="10462"/>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4,451,508.77</w:t>
      </w:r>
    </w:p>
    <w:p>
      <w:pPr>
        <w:framePr w:w="1613" w:x="7273" w:y="10462"/>
        <w:widowControl w:val="0"/>
        <w:autoSpaceDE w:val="0"/>
        <w:autoSpaceDN w:val="0"/>
        <w:spacing w:before="74"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1,637,969.58</w:t>
      </w:r>
    </w:p>
    <w:p>
      <w:pPr>
        <w:framePr w:w="1613" w:x="7273" w:y="10462"/>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-1,494,629.77</w:t>
      </w:r>
    </w:p>
    <w:p>
      <w:pPr>
        <w:framePr w:w="1613" w:x="7273" w:y="10462"/>
        <w:widowControl w:val="0"/>
        <w:autoSpaceDE w:val="0"/>
        <w:autoSpaceDN w:val="0"/>
        <w:spacing w:before="7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-39,080.94</w:t>
      </w:r>
    </w:p>
    <w:p>
      <w:pPr>
        <w:framePr w:w="1296" w:x="9580" w:y="104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484,304.34</w:t>
      </w:r>
    </w:p>
    <w:p>
      <w:pPr>
        <w:framePr w:w="1613" w:x="9266" w:y="11038"/>
        <w:widowControl w:val="0"/>
        <w:autoSpaceDE w:val="0"/>
        <w:autoSpaceDN w:val="0"/>
        <w:spacing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485,331.10</w:t>
      </w:r>
    </w:p>
    <w:p>
      <w:pPr>
        <w:framePr w:w="1613" w:x="9266" w:y="11038"/>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-2,158,083.60</w:t>
      </w:r>
    </w:p>
    <w:p>
      <w:pPr>
        <w:framePr w:w="1613" w:x="9266" w:y="11038"/>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3,806,467.91</w:t>
      </w:r>
    </w:p>
    <w:p>
      <w:pPr>
        <w:framePr w:w="1613" w:x="9266" w:y="11038"/>
        <w:widowControl w:val="0"/>
        <w:autoSpaceDE w:val="0"/>
        <w:autoSpaceDN w:val="0"/>
        <w:spacing w:before="7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-36,234.52</w:t>
      </w:r>
    </w:p>
    <w:p>
      <w:pPr>
        <w:framePr w:w="1824" w:x="7065" w:y="12188"/>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-39,053,379.14</w:t>
      </w:r>
    </w:p>
    <w:p>
      <w:pPr>
        <w:framePr w:w="1824" w:x="7065" w:y="12188"/>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-105,343,829.63</w:t>
      </w:r>
    </w:p>
    <w:p>
      <w:pPr>
        <w:framePr w:w="1824" w:x="7065" w:y="12188"/>
        <w:widowControl w:val="0"/>
        <w:autoSpaceDE w:val="0"/>
        <w:autoSpaceDN w:val="0"/>
        <w:spacing w:before="77" w:line="211" w:lineRule="exact"/>
        <w:ind w:left="20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49,888,352.16</w:t>
      </w:r>
    </w:p>
    <w:p>
      <w:pPr>
        <w:framePr w:w="1402" w:x="9477" w:y="1218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-304,768.61</w:t>
      </w:r>
    </w:p>
    <w:p>
      <w:pPr>
        <w:framePr w:w="1718" w:x="9160" w:y="124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-29,102,986.89</w:t>
      </w:r>
    </w:p>
    <w:p>
      <w:pPr>
        <w:framePr w:w="1718" w:x="9160" w:y="12474"/>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-17,840,605.25</w:t>
      </w:r>
    </w:p>
    <w:p>
      <w:pPr>
        <w:framePr w:w="4358" w:x="1798" w:y="133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经营活动产生的现金流量净额</w:t>
      </w:r>
    </w:p>
    <w:p>
      <w:pPr>
        <w:framePr w:w="4358" w:x="1798" w:y="13338"/>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．不涉及现金收支的重大投资和筹资活动：</w:t>
      </w:r>
    </w:p>
    <w:p>
      <w:pPr>
        <w:framePr w:w="4358" w:x="1798" w:y="1333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债务转为资本</w:t>
      </w:r>
    </w:p>
    <w:p>
      <w:pPr>
        <w:framePr w:w="1718" w:x="7168" w:y="13338"/>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46,228,827.78</w:t>
      </w:r>
    </w:p>
    <w:p>
      <w:pPr>
        <w:framePr w:w="1718" w:x="7168" w:y="13338"/>
        <w:widowControl w:val="0"/>
        <w:autoSpaceDE w:val="0"/>
        <w:autoSpaceDN w:val="0"/>
        <w:spacing w:before="151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144,067,263.63</w:t>
      </w:r>
    </w:p>
    <w:p>
      <w:pPr>
        <w:framePr w:w="1718" w:x="9160" w:y="133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102,932,206.59</w:t>
      </w:r>
    </w:p>
    <w:p>
      <w:pPr>
        <w:framePr w:w="1718" w:x="9160" w:y="13338"/>
        <w:widowControl w:val="0"/>
        <w:autoSpaceDE w:val="0"/>
        <w:autoSpaceDN w:val="0"/>
        <w:spacing w:before="151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133,240,793.80</w:t>
      </w:r>
    </w:p>
    <w:p>
      <w:pPr>
        <w:framePr w:w="2986" w:x="1798" w:y="14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一年内到期的可转换公司债券</w:t>
      </w:r>
    </w:p>
    <w:p>
      <w:pPr>
        <w:framePr w:w="2986" w:x="1798" w:y="14200"/>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融资租入固定资产</w:t>
      </w:r>
    </w:p>
    <w:p>
      <w:pPr>
        <w:framePr w:w="3514" w:x="1798" w:y="147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．现金及现金等价物净变动情况：</w:t>
      </w:r>
    </w:p>
    <w:p>
      <w:pPr>
        <w:framePr w:w="3514" w:x="1798" w:y="14773"/>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现金的期末余额</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13" type="#_x0000_t75" style="width:445.6pt;height:2.7pt;margin-top:53.65pt;margin-left:87.45pt;mso-position-horizontal-relative:page;mso-position-vertical-relative:page;position:absolute;z-index:-251421696">
            <v:imagedata r:id="rId251" o:title=""/>
          </v:shape>
        </w:pict>
      </w:r>
      <w:r>
        <w:rPr>
          <w:noProof/>
        </w:rPr>
        <w:pict>
          <v:shape id="_x0000_s1314" type="#_x0000_t75" style="width:455.1pt;height:417.5pt;margin-top:349.5pt;margin-left:83.25pt;mso-position-horizontal-relative:page;mso-position-vertical-relative:page;position:absolute;z-index:-251531264">
            <v:imagedata r:id="rId252" o:title=""/>
          </v:shape>
        </w:pict>
      </w:r>
    </w:p>
    <w:p>
      <w:pPr>
        <w:spacing w:line="0" w:lineRule="atLeast"/>
        <w:rPr>
          <w:rFonts w:ascii="Arial" w:eastAsiaTheme="minorEastAsia" w:hAnsiTheme="minorHAnsi" w:cstheme="minorBidi"/>
          <w:color w:val="FF0000"/>
          <w:sz w:val="2"/>
          <w:szCs w:val="22"/>
          <w:lang w:val="en-US" w:eastAsia="en-US" w:bidi="ar-SA"/>
        </w:rPr>
      </w:pPr>
      <w:bookmarkStart w:id="125" w:name="br1_124"/>
      <w:bookmarkEnd w:id="12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141" w:x="1798"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减：现金的期初余额</w:t>
      </w:r>
    </w:p>
    <w:p>
      <w:pPr>
        <w:framePr w:w="1824" w:x="7065" w:y="1553"/>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824" w:x="7065" w:y="1553"/>
        <w:widowControl w:val="0"/>
        <w:autoSpaceDE w:val="0"/>
        <w:autoSpaceDN w:val="0"/>
        <w:spacing w:before="65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-219,179,886.80</w:t>
      </w:r>
    </w:p>
    <w:p>
      <w:pPr>
        <w:framePr w:w="1824" w:x="9057" w:y="1553"/>
        <w:widowControl w:val="0"/>
        <w:autoSpaceDE w:val="0"/>
        <w:autoSpaceDN w:val="0"/>
        <w:spacing w:line="211" w:lineRule="exact"/>
        <w:ind w:left="10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242,878,423.00</w:t>
      </w:r>
    </w:p>
    <w:p>
      <w:pPr>
        <w:framePr w:w="1824" w:x="9057" w:y="1553"/>
        <w:widowControl w:val="0"/>
        <w:autoSpaceDE w:val="0"/>
        <w:autoSpaceDN w:val="0"/>
        <w:spacing w:before="65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-109,637,629.20</w:t>
      </w:r>
    </w:p>
    <w:p>
      <w:pPr>
        <w:framePr w:w="2774" w:x="1798" w:y="1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加：现金等价物的期末余额</w:t>
      </w:r>
    </w:p>
    <w:p>
      <w:pPr>
        <w:framePr w:w="2774" w:x="1798" w:y="183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减：现金等价物的期初余额</w:t>
      </w:r>
    </w:p>
    <w:p>
      <w:pPr>
        <w:framePr w:w="2774" w:x="1798" w:y="1838"/>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现金及现金等价物净增加额</w:t>
      </w:r>
    </w:p>
    <w:p>
      <w:pPr>
        <w:framePr w:w="3828" w:x="1798" w:y="30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本期支付的取得子公司的现金净额</w:t>
      </w:r>
    </w:p>
    <w:p>
      <w:pPr>
        <w:framePr w:w="1817" w:x="1798" w:y="33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28" w:x="1798" w:y="3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本期收到的处置子公司的现金净额</w:t>
      </w:r>
    </w:p>
    <w:p>
      <w:pPr>
        <w:framePr w:w="1817" w:x="1798" w:y="43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6" w:x="1798" w:y="4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现金和现金等价物的构成</w:t>
      </w:r>
    </w:p>
    <w:p>
      <w:pPr>
        <w:framePr w:w="1817" w:x="1798" w:y="52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5513"/>
        <w:widowControl w:val="0"/>
        <w:autoSpaceDE w:val="0"/>
        <w:autoSpaceDN w:val="0"/>
        <w:spacing w:before="72" w:line="211" w:lineRule="exact"/>
        <w:ind w:left="63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252" w:y="58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6251" w:y="58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1798" w:y="60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一、现金</w:t>
      </w:r>
    </w:p>
    <w:p>
      <w:pPr>
        <w:framePr w:w="1718" w:x="6423" w:y="60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144,067,263.63</w:t>
      </w:r>
    </w:p>
    <w:p>
      <w:pPr>
        <w:framePr w:w="1718" w:x="9163" w:y="608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718" w:x="9163" w:y="6089"/>
        <w:widowControl w:val="0"/>
        <w:autoSpaceDE w:val="0"/>
        <w:autoSpaceDN w:val="0"/>
        <w:spacing w:before="84"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15,451.11</w:t>
      </w:r>
    </w:p>
    <w:p>
      <w:pPr>
        <w:framePr w:w="1718" w:x="1798" w:y="63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其中：库存现金</w:t>
      </w:r>
    </w:p>
    <w:p>
      <w:pPr>
        <w:framePr w:w="1190" w:x="6949" w:y="638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54,515.71</w:t>
      </w:r>
    </w:p>
    <w:p>
      <w:pPr>
        <w:framePr w:w="3197" w:x="2220" w:y="6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可随时用于支付的银行存款</w:t>
      </w:r>
    </w:p>
    <w:p>
      <w:pPr>
        <w:framePr w:w="3197" w:x="2220" w:y="668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可随时用于支付的其他货币资金</w:t>
      </w:r>
    </w:p>
    <w:p>
      <w:pPr>
        <w:framePr w:w="3197" w:x="2220" w:y="668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可用于支付的存放中央银行款项</w:t>
      </w:r>
    </w:p>
    <w:p>
      <w:pPr>
        <w:framePr w:w="3197" w:x="2220" w:y="6687"/>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存放同业款项</w:t>
      </w:r>
    </w:p>
    <w:p>
      <w:pPr>
        <w:framePr w:w="1718" w:x="6423" w:y="66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144,012,747.92</w:t>
      </w:r>
    </w:p>
    <w:p>
      <w:pPr>
        <w:framePr w:w="1718" w:x="9163" w:y="66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363,231,699.32</w:t>
      </w:r>
    </w:p>
    <w:p>
      <w:pPr>
        <w:framePr w:w="1507" w:x="2220" w:y="78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拆放同业款项</w:t>
      </w:r>
    </w:p>
    <w:p>
      <w:pPr>
        <w:framePr w:w="1718" w:x="1798" w:y="81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二、现金等价物</w:t>
      </w:r>
    </w:p>
    <w:p>
      <w:pPr>
        <w:framePr w:w="3619" w:x="1798" w:y="84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其中：三个月内到期的债券投资</w:t>
      </w:r>
    </w:p>
    <w:p>
      <w:pPr>
        <w:framePr w:w="3619" w:x="1798" w:y="8455"/>
        <w:widowControl w:val="0"/>
        <w:autoSpaceDE w:val="0"/>
        <w:autoSpaceDN w:val="0"/>
        <w:spacing w:before="8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三、期末现金及现金等价物余额</w:t>
      </w:r>
    </w:p>
    <w:p>
      <w:pPr>
        <w:framePr w:w="3619" w:x="1798" w:y="8455"/>
        <w:widowControl w:val="0"/>
        <w:autoSpaceDE w:val="0"/>
        <w:autoSpaceDN w:val="0"/>
        <w:spacing w:before="7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其中：母公司或集团内子公司使用受</w:t>
      </w:r>
    </w:p>
    <w:p>
      <w:pPr>
        <w:framePr w:w="3619" w:x="1798" w:y="845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限制的现金和现金等价物</w:t>
      </w:r>
    </w:p>
    <w:p>
      <w:pPr>
        <w:framePr w:w="1718" w:x="6423" w:y="87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144,067,263.63</w:t>
      </w:r>
    </w:p>
    <w:p>
      <w:pPr>
        <w:framePr w:w="1718" w:x="8946" w:y="874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363,247,150.43</w:t>
      </w:r>
    </w:p>
    <w:p>
      <w:pPr>
        <w:framePr w:w="1296" w:x="1798" w:y="99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03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74" w:x="1798" w:y="109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所有者权益变动表项目注释</w:t>
      </w:r>
    </w:p>
    <w:p>
      <w:pPr>
        <w:framePr w:w="6787" w:x="1798" w:y="114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说明对上年期末余额进行调整的“其他”项目名称及调整金额等事项：</w:t>
      </w:r>
    </w:p>
    <w:p>
      <w:pPr>
        <w:framePr w:w="6787" w:x="1798" w:y="1145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96" w:x="1798" w:y="124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所有权或使用权受到限制的资产</w:t>
      </w:r>
    </w:p>
    <w:p>
      <w:pPr>
        <w:framePr w:w="1817" w:x="1798" w:y="127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0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072"/>
        <w:widowControl w:val="0"/>
        <w:autoSpaceDE w:val="0"/>
        <w:autoSpaceDN w:val="0"/>
        <w:spacing w:before="72" w:line="211" w:lineRule="exact"/>
        <w:ind w:left="57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受限原因</w:t>
      </w:r>
    </w:p>
    <w:p>
      <w:pPr>
        <w:framePr w:w="662" w:x="3135" w:y="133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5814" w:y="133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期末账面价值</w:t>
      </w:r>
    </w:p>
    <w:p>
      <w:pPr>
        <w:framePr w:w="1085" w:x="1798" w:y="13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085" w:x="1798" w:y="1363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085" w:x="1798" w:y="13636"/>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应收票据</w:t>
      </w:r>
    </w:p>
    <w:p>
      <w:pPr>
        <w:framePr w:w="1085" w:x="1798" w:y="1363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存货</w:t>
      </w:r>
    </w:p>
    <w:p>
      <w:pPr>
        <w:framePr w:w="3665" w:x="6467" w:y="1363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179,233,000.00</w:t>
      </w:r>
      <w:r>
        <w:rPr>
          <w:rFonts w:ascii="SimSun" w:hAnsi="SimSun" w:eastAsiaTheme="minorEastAsia" w:cs="SimSun"/>
          <w:color w:val="000000"/>
          <w:sz w:val="21"/>
          <w:szCs w:val="22"/>
          <w:lang w:val="en-US" w:eastAsia="en-US" w:bidi="ar-SA"/>
        </w:rPr>
        <w:t>银行承兑汇票保证金</w:t>
      </w:r>
    </w:p>
    <w:p>
      <w:pPr>
        <w:framePr w:w="2719" w:x="6573" w:y="13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41,233,211.88</w:t>
      </w:r>
      <w:r>
        <w:rPr>
          <w:rFonts w:ascii="SimSun" w:hAnsi="SimSun" w:eastAsiaTheme="minorEastAsia" w:cs="SimSun"/>
          <w:color w:val="000000"/>
          <w:spacing w:val="1"/>
          <w:sz w:val="21"/>
          <w:szCs w:val="22"/>
          <w:lang w:val="en-US" w:eastAsia="en-US" w:bidi="ar-SA"/>
        </w:rPr>
        <w:t>履约保证金</w:t>
      </w:r>
    </w:p>
    <w:p>
      <w:pPr>
        <w:framePr w:w="1085" w:x="1798" w:y="147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固定资产</w:t>
      </w:r>
    </w:p>
    <w:p>
      <w:pPr>
        <w:framePr w:w="1085" w:x="1798" w:y="147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无形资产</w:t>
      </w:r>
    </w:p>
    <w:p>
      <w:pPr>
        <w:framePr w:w="2614" w:x="6467" w:y="14776"/>
        <w:widowControl w:val="0"/>
        <w:autoSpaceDE w:val="0"/>
        <w:autoSpaceDN w:val="0"/>
        <w:spacing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73,654,861.21</w:t>
      </w:r>
      <w:r>
        <w:rPr>
          <w:rFonts w:ascii="SimSun" w:hAnsi="SimSun" w:eastAsiaTheme="minorEastAsia" w:cs="SimSun"/>
          <w:color w:val="000000"/>
          <w:sz w:val="21"/>
          <w:szCs w:val="22"/>
          <w:lang w:val="en-US" w:eastAsia="en-US" w:bidi="ar-SA"/>
        </w:rPr>
        <w:t>抵押贷款</w:t>
      </w:r>
    </w:p>
    <w:p>
      <w:pPr>
        <w:framePr w:w="2614" w:x="6467" w:y="1477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113,735,942.63</w:t>
      </w:r>
      <w:r>
        <w:rPr>
          <w:rFonts w:ascii="SimSun" w:hAnsi="SimSun" w:eastAsiaTheme="minorEastAsia" w:cs="SimSun"/>
          <w:color w:val="000000"/>
          <w:sz w:val="21"/>
          <w:szCs w:val="22"/>
          <w:lang w:val="en-US" w:eastAsia="en-US" w:bidi="ar-SA"/>
        </w:rPr>
        <w:t>抵押贷款</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15" type="#_x0000_t75" style="width:445.6pt;height:2.7pt;margin-top:53.65pt;margin-left:87.45pt;mso-position-horizontal-relative:page;mso-position-vertical-relative:page;position:absolute;z-index:-251316224">
            <v:imagedata r:id="rId253" o:title=""/>
          </v:shape>
        </w:pict>
      </w:r>
      <w:r>
        <w:rPr>
          <w:noProof/>
        </w:rPr>
        <w:pict>
          <v:shape id="_x0000_s1316" type="#_x0000_t75" style="width:455.1pt;height:60.35pt;margin-top:74.3pt;margin-left:83.25pt;mso-position-horizontal-relative:page;mso-position-vertical-relative:page;position:absolute;z-index:-251353088">
            <v:imagedata r:id="rId254" o:title=""/>
          </v:shape>
        </w:pict>
      </w:r>
      <w:r>
        <w:rPr>
          <w:noProof/>
        </w:rPr>
        <w:pict>
          <v:shape id="_x0000_s1317" type="#_x0000_t75" style="width:454.95pt;height:192.6pt;margin-top:286.75pt;margin-left:83.25pt;mso-position-horizontal-relative:page;mso-position-vertical-relative:page;position:absolute;z-index:-251420672">
            <v:imagedata r:id="rId255" o:title=""/>
          </v:shape>
        </w:pict>
      </w:r>
      <w:r>
        <w:rPr>
          <w:noProof/>
        </w:rPr>
        <w:pict>
          <v:shape id="_x0000_s1318" type="#_x0000_t75" style="width:447.5pt;height:101.85pt;margin-top:664.65pt;margin-left:87pt;mso-position-horizontal-relative:page;mso-position-vertical-relative:page;position:absolute;z-index:-251530240">
            <v:imagedata r:id="rId256" o:title=""/>
          </v:shape>
        </w:pict>
      </w:r>
    </w:p>
    <w:p>
      <w:pPr>
        <w:spacing w:line="0" w:lineRule="atLeast"/>
        <w:rPr>
          <w:rFonts w:ascii="Arial" w:eastAsiaTheme="minorEastAsia" w:hAnsiTheme="minorHAnsi" w:cstheme="minorBidi"/>
          <w:color w:val="FF0000"/>
          <w:sz w:val="2"/>
          <w:szCs w:val="22"/>
          <w:lang w:val="en-US" w:eastAsia="en-US" w:bidi="ar-SA"/>
        </w:rPr>
      </w:pPr>
      <w:bookmarkStart w:id="126" w:name="br1_125"/>
      <w:bookmarkEnd w:id="12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5" w:x="1798"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在建工程</w:t>
      </w:r>
    </w:p>
    <w:p>
      <w:pPr>
        <w:framePr w:w="2508" w:x="6573"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83,434,963.42</w:t>
      </w:r>
      <w:r>
        <w:rPr>
          <w:rFonts w:ascii="SimSun" w:hAnsi="SimSun" w:eastAsiaTheme="minorEastAsia" w:cs="SimSun"/>
          <w:color w:val="000000"/>
          <w:sz w:val="21"/>
          <w:szCs w:val="22"/>
          <w:lang w:val="en-US" w:eastAsia="en-US" w:bidi="ar-SA"/>
        </w:rPr>
        <w:t>抵押贷款</w:t>
      </w:r>
    </w:p>
    <w:p>
      <w:pPr>
        <w:framePr w:w="662" w:x="3135" w:y="1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467"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491,291,979.14</w:t>
      </w:r>
    </w:p>
    <w:p>
      <w:pPr>
        <w:framePr w:w="346" w:x="9261" w:y="183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296" w:x="1798" w:y="24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2460"/>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419" w:x="1798" w:y="33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外币货币性项目</w:t>
      </w:r>
    </w:p>
    <w:p>
      <w:pPr>
        <w:framePr w:w="2419" w:x="1798" w:y="3396"/>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外币货币性项目</w:t>
      </w:r>
    </w:p>
    <w:p>
      <w:pPr>
        <w:framePr w:w="2419" w:x="1798" w:y="3396"/>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9792" w:y="4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p>
    <w:p>
      <w:pPr>
        <w:framePr w:w="1718" w:x="8980" w:y="46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期末折算人民币</w:t>
      </w:r>
    </w:p>
    <w:p>
      <w:pPr>
        <w:framePr w:w="1718" w:x="8980" w:y="4615"/>
        <w:widowControl w:val="0"/>
        <w:autoSpaceDE w:val="0"/>
        <w:autoSpaceDN w:val="0"/>
        <w:spacing w:before="62" w:line="211" w:lineRule="exact"/>
        <w:ind w:left="52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662" w:x="2928" w:y="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507" w:x="4981" w:y="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期末外币余额</w:t>
      </w:r>
    </w:p>
    <w:p>
      <w:pPr>
        <w:framePr w:w="1085" w:x="7247" w:y="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折算汇率</w:t>
      </w:r>
    </w:p>
    <w:p>
      <w:pPr>
        <w:framePr w:w="1296" w:x="1798" w:y="51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货币资金</w:t>
      </w:r>
    </w:p>
    <w:p>
      <w:pPr>
        <w:framePr w:w="1296" w:x="1798" w:y="517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5170"/>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3" w:y="51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51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613" w:x="5163" w:y="54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12,217,779.21</w:t>
      </w:r>
    </w:p>
    <w:p>
      <w:pPr>
        <w:framePr w:w="874" w:x="7957" w:y="54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7.0795</w:t>
      </w:r>
    </w:p>
    <w:p>
      <w:pPr>
        <w:framePr w:w="1613" w:x="9266" w:y="54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86,495,767.94</w:t>
      </w:r>
    </w:p>
    <w:p>
      <w:pPr>
        <w:framePr w:w="662" w:x="2429" w:y="6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662" w:x="2429" w:y="6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澳元</w:t>
      </w:r>
    </w:p>
    <w:p>
      <w:pPr>
        <w:framePr w:w="768" w:x="6003" w:y="63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16.24</w:t>
      </w:r>
    </w:p>
    <w:p>
      <w:pPr>
        <w:framePr w:w="768" w:x="6003" w:y="6300"/>
        <w:widowControl w:val="0"/>
        <w:autoSpaceDE w:val="0"/>
        <w:autoSpaceDN w:val="0"/>
        <w:spacing w:before="7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874" w:x="7957" w:y="63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4.8657</w:t>
      </w:r>
    </w:p>
    <w:p>
      <w:pPr>
        <w:framePr w:w="874" w:x="7957" w:y="6300"/>
        <w:widowControl w:val="0"/>
        <w:autoSpaceDE w:val="0"/>
        <w:autoSpaceDN w:val="0"/>
        <w:spacing w:before="70" w:line="211" w:lineRule="exact"/>
        <w:ind w:left="52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768" w:x="10106" w:y="63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79.02</w:t>
      </w:r>
    </w:p>
    <w:p>
      <w:pPr>
        <w:framePr w:w="1296" w:x="1798" w:y="65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296" w:x="1798" w:y="658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6581"/>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1613" w:x="5163" w:y="68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38,295,706.40</w:t>
      </w:r>
    </w:p>
    <w:p>
      <w:pPr>
        <w:framePr w:w="874" w:x="7957" w:y="68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7.0795</w:t>
      </w:r>
    </w:p>
    <w:p>
      <w:pPr>
        <w:framePr w:w="1718" w:x="9160" w:y="68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271,114,453.46</w:t>
      </w:r>
    </w:p>
    <w:p>
      <w:pPr>
        <w:framePr w:w="662" w:x="2429" w:y="74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77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长期借款</w:t>
      </w:r>
    </w:p>
    <w:p>
      <w:pPr>
        <w:framePr w:w="1296" w:x="1798" w:y="77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7711"/>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3" w:y="77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771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662" w:x="2429" w:y="85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8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预付账款</w:t>
      </w:r>
    </w:p>
    <w:p>
      <w:pPr>
        <w:framePr w:w="1296" w:x="1798" w:y="884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8842"/>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3" w:y="88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88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507" w:x="5269" w:y="91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2,498,860.00</w:t>
      </w:r>
    </w:p>
    <w:p>
      <w:pPr>
        <w:framePr w:w="874" w:x="7957" w:y="91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7.0795</w:t>
      </w:r>
    </w:p>
    <w:p>
      <w:pPr>
        <w:framePr w:w="1613" w:x="9266" w:y="912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17,690,679.37</w:t>
      </w:r>
    </w:p>
    <w:p>
      <w:pPr>
        <w:framePr w:w="1613" w:x="9266" w:y="9123"/>
        <w:widowControl w:val="0"/>
        <w:autoSpaceDE w:val="0"/>
        <w:autoSpaceDN w:val="0"/>
        <w:spacing w:before="919"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1,227,165.84</w:t>
      </w:r>
    </w:p>
    <w:p>
      <w:pPr>
        <w:framePr w:w="1613" w:x="9266" w:y="9123"/>
        <w:widowControl w:val="0"/>
        <w:autoSpaceDE w:val="0"/>
        <w:autoSpaceDN w:val="0"/>
        <w:spacing w:before="917" w:line="211" w:lineRule="exact"/>
        <w:ind w:left="314"/>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434,822.89</w:t>
      </w:r>
    </w:p>
    <w:p>
      <w:pPr>
        <w:framePr w:w="1613" w:x="9266" w:y="9123"/>
        <w:widowControl w:val="0"/>
        <w:autoSpaceDE w:val="0"/>
        <w:autoSpaceDN w:val="0"/>
        <w:spacing w:before="920"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85,796.46</w:t>
      </w:r>
    </w:p>
    <w:p>
      <w:pPr>
        <w:framePr w:w="662" w:x="2429" w:y="96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99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应付账款</w:t>
      </w:r>
    </w:p>
    <w:p>
      <w:pPr>
        <w:framePr w:w="1296" w:x="1798" w:y="997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9970"/>
        <w:widowControl w:val="0"/>
        <w:autoSpaceDE w:val="0"/>
        <w:autoSpaceDN w:val="0"/>
        <w:spacing w:before="70"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3" w:y="99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997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296" w:x="5478" w:y="102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173,340.75</w:t>
      </w:r>
    </w:p>
    <w:p>
      <w:pPr>
        <w:framePr w:w="874" w:x="7957" w:y="102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7.0795</w:t>
      </w:r>
    </w:p>
    <w:p>
      <w:pPr>
        <w:framePr w:w="662" w:x="2429" w:y="108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111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预收账款</w:t>
      </w:r>
    </w:p>
    <w:p>
      <w:pPr>
        <w:framePr w:w="1296" w:x="1798" w:y="1110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11101"/>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3" w:y="111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1110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190" w:x="5583" w:y="113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61,420.00</w:t>
      </w:r>
    </w:p>
    <w:p>
      <w:pPr>
        <w:framePr w:w="874" w:x="7957" w:y="1138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7.0795</w:t>
      </w:r>
    </w:p>
    <w:p>
      <w:pPr>
        <w:framePr w:w="662" w:x="2429" w:y="11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12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其他应付款</w:t>
      </w:r>
    </w:p>
    <w:p>
      <w:pPr>
        <w:framePr w:w="1296" w:x="1798" w:y="122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其中：美元</w:t>
      </w:r>
    </w:p>
    <w:p>
      <w:pPr>
        <w:framePr w:w="1296" w:x="1798" w:y="12229"/>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欧元</w:t>
      </w:r>
    </w:p>
    <w:p>
      <w:pPr>
        <w:framePr w:w="346" w:x="6423" w:y="122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346" w:x="8483" w:y="1222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1190" w:x="5583" w:y="125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12,119.00</w:t>
      </w:r>
    </w:p>
    <w:p>
      <w:pPr>
        <w:framePr w:w="874" w:x="7957" w:y="1251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7.0795</w:t>
      </w:r>
    </w:p>
    <w:p>
      <w:pPr>
        <w:framePr w:w="662" w:x="2429" w:y="13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港币</w:t>
      </w:r>
    </w:p>
    <w:p>
      <w:pPr>
        <w:framePr w:w="1296" w:x="1798" w:y="13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3691"/>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077" w:x="1798" w:y="143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境外经营实体说明，包括对于重要的境外经营实体，应披露其境外主要经营地、记账本位</w:t>
      </w:r>
    </w:p>
    <w:p>
      <w:pPr>
        <w:framePr w:w="5098" w:x="2218" w:y="146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币及选择依据，记账本位币发生变化的还应披露原因</w:t>
      </w:r>
    </w:p>
    <w:p>
      <w:pPr>
        <w:framePr w:w="1817" w:x="1798" w:y="149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19" type="#_x0000_t75" style="width:445.6pt;height:2.7pt;margin-top:53.65pt;margin-left:87.45pt;mso-position-horizontal-relative:page;mso-position-vertical-relative:page;position:absolute;z-index:-251352064">
            <v:imagedata r:id="rId257" o:title=""/>
          </v:shape>
        </w:pict>
      </w:r>
      <w:r>
        <w:rPr>
          <w:noProof/>
        </w:rPr>
        <w:pict>
          <v:shape id="_x0000_s1320" type="#_x0000_t75" style="width:447.5pt;height:31.55pt;margin-top:74.3pt;margin-left:87pt;mso-position-horizontal-relative:page;mso-position-vertical-relative:page;position:absolute;z-index:-251419648">
            <v:imagedata r:id="rId258" o:title=""/>
          </v:shape>
        </w:pict>
      </w:r>
      <w:r>
        <w:rPr>
          <w:noProof/>
        </w:rPr>
        <w:pict>
          <v:shape id="_x0000_s1321" type="#_x0000_t75" style="width:454.95pt;height:439.7pt;margin-top:227.8pt;margin-left:83.25pt;mso-position-horizontal-relative:page;mso-position-vertical-relative:page;position:absolute;z-index:-251529216">
            <v:imagedata r:id="rId259" o:title=""/>
          </v:shape>
        </w:pict>
      </w:r>
    </w:p>
    <w:p>
      <w:pPr>
        <w:spacing w:line="0" w:lineRule="atLeast"/>
        <w:rPr>
          <w:rFonts w:ascii="Arial" w:eastAsiaTheme="minorEastAsia" w:hAnsiTheme="minorHAnsi" w:cstheme="minorBidi"/>
          <w:color w:val="FF0000"/>
          <w:sz w:val="2"/>
          <w:szCs w:val="22"/>
          <w:lang w:val="en-US" w:eastAsia="en-US" w:bidi="ar-SA"/>
        </w:rPr>
      </w:pPr>
      <w:bookmarkStart w:id="127" w:name="br1_126"/>
      <w:bookmarkEnd w:id="12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166"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套期</w:t>
      </w:r>
    </w:p>
    <w:p>
      <w:pPr>
        <w:framePr w:w="1817" w:x="1798" w:y="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89" w:x="1798" w:y="28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政府补助</w:t>
      </w:r>
    </w:p>
    <w:p>
      <w:pPr>
        <w:framePr w:w="2354" w:x="1798" w:y="3120"/>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Cambria" w:eastAsiaTheme="minorEastAsia" w:hAnsiTheme="minorHAnsi" w:cstheme="minorBidi"/>
          <w:b/>
          <w:color w:val="000000"/>
          <w:sz w:val="21"/>
          <w:szCs w:val="22"/>
          <w:lang w:val="en-US" w:eastAsia="en-US" w:bidi="ar-SA"/>
        </w:rPr>
        <w:t>1.</w:t>
      </w:r>
      <w:r>
        <w:rPr>
          <w:rFonts w:ascii="Cambria" w:eastAsiaTheme="minorEastAsia" w:hAnsiTheme="minorHAnsi" w:cstheme="minorBidi"/>
          <w:b/>
          <w:color w:val="000000"/>
          <w:spacing w:val="2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政府补助基本情况</w:t>
      </w:r>
    </w:p>
    <w:p>
      <w:pPr>
        <w:framePr w:w="2354" w:x="1798" w:y="3120"/>
        <w:widowControl w:val="0"/>
        <w:autoSpaceDE w:val="0"/>
        <w:autoSpaceDN w:val="0"/>
        <w:spacing w:before="10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7" w:x="8320" w:y="37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7" w:x="8320" w:y="3744"/>
        <w:widowControl w:val="0"/>
        <w:autoSpaceDE w:val="0"/>
        <w:autoSpaceDN w:val="0"/>
        <w:spacing w:before="70" w:line="211" w:lineRule="exact"/>
        <w:ind w:left="34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计入当期损益的金额</w:t>
      </w:r>
    </w:p>
    <w:p>
      <w:pPr>
        <w:framePr w:w="2557" w:x="8320" w:y="3744"/>
        <w:widowControl w:val="0"/>
        <w:autoSpaceDE w:val="0"/>
        <w:autoSpaceDN w:val="0"/>
        <w:spacing w:before="72" w:line="211" w:lineRule="exact"/>
        <w:ind w:left="126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112,079.20</w:t>
      </w:r>
    </w:p>
    <w:p>
      <w:pPr>
        <w:framePr w:w="662" w:x="2792" w:y="4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种类</w:t>
      </w:r>
    </w:p>
    <w:p>
      <w:pPr>
        <w:framePr w:w="662" w:x="5485" w:y="4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085" w:x="7057" w:y="40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列报项目</w:t>
      </w:r>
    </w:p>
    <w:p>
      <w:pPr>
        <w:framePr w:w="1930" w:x="1195" w:y="43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出口信用保险补助</w:t>
      </w:r>
    </w:p>
    <w:p>
      <w:pPr>
        <w:framePr w:w="3505" w:x="5108" w:y="4308"/>
        <w:widowControl w:val="0"/>
        <w:autoSpaceDE w:val="0"/>
        <w:autoSpaceDN w:val="0"/>
        <w:spacing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112,079.20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505" w:x="5108" w:y="4308"/>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376,064.00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505" w:x="5108" w:y="4308"/>
        <w:widowControl w:val="0"/>
        <w:autoSpaceDE w:val="0"/>
        <w:autoSpaceDN w:val="0"/>
        <w:spacing w:before="70"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73,662.00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505" w:x="5108" w:y="4308"/>
        <w:widowControl w:val="0"/>
        <w:autoSpaceDE w:val="0"/>
        <w:autoSpaceDN w:val="0"/>
        <w:spacing w:before="73" w:line="211" w:lineRule="exact"/>
        <w:ind w:left="314"/>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58,000.00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505" w:x="5108" w:y="4308"/>
        <w:widowControl w:val="0"/>
        <w:autoSpaceDE w:val="0"/>
        <w:autoSpaceDN w:val="0"/>
        <w:spacing w:before="72"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553,596.30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pacing w:val="-11"/>
          <w:sz w:val="21"/>
          <w:szCs w:val="22"/>
          <w:lang w:val="en-US" w:eastAsia="en-US" w:bidi="ar-SA"/>
        </w:rPr>
        <w:t>递延收益、其他收益</w:t>
      </w:r>
    </w:p>
    <w:p>
      <w:pPr>
        <w:framePr w:w="3505" w:x="5108" w:y="4308"/>
        <w:widowControl w:val="0"/>
        <w:autoSpaceDE w:val="0"/>
        <w:autoSpaceDN w:val="0"/>
        <w:spacing w:before="70" w:line="211" w:lineRule="exact"/>
        <w:ind w:left="209"/>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443,050.00</w:t>
      </w:r>
      <w:r>
        <w:rPr>
          <w:rFonts w:ascii="SimSun" w:eastAsiaTheme="minorEastAsia" w:hAnsiTheme="minorHAnsi" w:cstheme="minorBidi"/>
          <w:color w:val="000000"/>
          <w:spacing w:val="109"/>
          <w:sz w:val="21"/>
          <w:szCs w:val="22"/>
          <w:lang w:val="en-US" w:eastAsia="en-US" w:bidi="ar-SA"/>
        </w:rPr>
        <w:t xml:space="preserve"> </w:t>
      </w:r>
      <w:r>
        <w:rPr>
          <w:rFonts w:ascii="SimSun" w:hAnsi="SimSun" w:eastAsiaTheme="minorEastAsia" w:cs="SimSun"/>
          <w:color w:val="000000"/>
          <w:sz w:val="21"/>
          <w:szCs w:val="22"/>
          <w:lang w:val="en-US" w:eastAsia="en-US" w:bidi="ar-SA"/>
        </w:rPr>
        <w:t>其他收益</w:t>
      </w:r>
    </w:p>
    <w:p>
      <w:pPr>
        <w:framePr w:w="3505" w:x="5108" w:y="4308"/>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1,616,451.50</w:t>
      </w:r>
    </w:p>
    <w:p>
      <w:pPr>
        <w:framePr w:w="3855" w:x="1195" w:y="45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年省级外经贸和商贸流通专项资金</w:t>
      </w:r>
    </w:p>
    <w:p>
      <w:pPr>
        <w:framePr w:w="3855" w:x="1195" w:y="459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年市级外经贸发展专项资金</w:t>
      </w:r>
    </w:p>
    <w:p>
      <w:pPr>
        <w:framePr w:w="3855" w:x="1195" w:y="4591"/>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专利申请资助和专利奖励</w:t>
      </w:r>
    </w:p>
    <w:p>
      <w:pPr>
        <w:framePr w:w="3855" w:x="1195" w:y="459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稳定就业岗位补贴</w:t>
      </w:r>
    </w:p>
    <w:p>
      <w:pPr>
        <w:framePr w:w="1296" w:x="9583" w:y="459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376,064.00</w:t>
      </w:r>
    </w:p>
    <w:p>
      <w:pPr>
        <w:framePr w:w="1190" w:x="9688" w:y="487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73,662.00</w:t>
      </w:r>
    </w:p>
    <w:p>
      <w:pPr>
        <w:framePr w:w="1190" w:x="9688" w:y="515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58,000.00</w:t>
      </w:r>
    </w:p>
    <w:p>
      <w:pPr>
        <w:framePr w:w="1296" w:x="9583" w:y="54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333,659.00</w:t>
      </w:r>
    </w:p>
    <w:p>
      <w:pPr>
        <w:framePr w:w="1085" w:x="1195" w:y="57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疫情补助</w:t>
      </w:r>
    </w:p>
    <w:p>
      <w:pPr>
        <w:framePr w:w="1296" w:x="9583" w:y="571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443,050.00</w:t>
      </w:r>
    </w:p>
    <w:p>
      <w:pPr>
        <w:framePr w:w="662" w:x="1195" w:y="6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507" w:x="9374" w:y="600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1,396,514.20</w:t>
      </w:r>
    </w:p>
    <w:p>
      <w:pPr>
        <w:framePr w:w="2354" w:x="1798" w:y="6598"/>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Cambria" w:eastAsiaTheme="minorEastAsia" w:hAnsiTheme="minorHAnsi" w:cstheme="minorBidi"/>
          <w:b/>
          <w:color w:val="000000"/>
          <w:sz w:val="21"/>
          <w:szCs w:val="22"/>
          <w:lang w:val="en-US" w:eastAsia="en-US" w:bidi="ar-SA"/>
        </w:rPr>
        <w:t>2.</w:t>
      </w:r>
      <w:r>
        <w:rPr>
          <w:rFonts w:ascii="Cambria" w:eastAsiaTheme="minorEastAsia" w:hAnsiTheme="minorHAnsi" w:cstheme="minorBidi"/>
          <w:b/>
          <w:color w:val="000000"/>
          <w:spacing w:val="2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政府补助退回情况</w:t>
      </w:r>
    </w:p>
    <w:p>
      <w:pPr>
        <w:framePr w:w="1817" w:x="1798" w:y="6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73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451" w:x="1798" w:y="77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166" w:x="1798" w:y="80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85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91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八、合并范围的变更</w:t>
      </w:r>
    </w:p>
    <w:p>
      <w:pPr>
        <w:framePr w:w="2770" w:x="1798" w:y="9173"/>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非同一控制下企业合并</w:t>
      </w:r>
    </w:p>
    <w:p>
      <w:pPr>
        <w:framePr w:w="2770" w:x="1798" w:y="9173"/>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1" w:x="1798" w:y="107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同一控制下企业合并</w:t>
      </w:r>
    </w:p>
    <w:p>
      <w:pPr>
        <w:framePr w:w="1817" w:x="1798" w:y="111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05" w:x="1798" w:y="117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反向购买</w:t>
      </w:r>
    </w:p>
    <w:p>
      <w:pPr>
        <w:framePr w:w="1817" w:x="1798" w:y="122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6" w:x="1798" w:y="128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处置子公司</w:t>
      </w:r>
    </w:p>
    <w:p>
      <w:pPr>
        <w:framePr w:w="5098" w:x="1798" w:y="133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是否存在单次处置对子公司投资即丧失控制权的情形</w:t>
      </w:r>
    </w:p>
    <w:p>
      <w:pPr>
        <w:framePr w:w="1718" w:x="1798" w:y="13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□适用√不适用</w:t>
      </w:r>
    </w:p>
    <w:p>
      <w:pPr>
        <w:framePr w:w="1718" w:x="1798" w:y="1373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45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998" w:x="1798" w:y="151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是否存在通过多次交易分步处置对子公司投资且在本期丧失控制权的情形</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2" type="#_x0000_t75" style="width:445.6pt;height:2.7pt;margin-top:53.65pt;margin-left:87.45pt;mso-position-horizontal-relative:page;mso-position-vertical-relative:page;position:absolute;z-index:-251418624">
            <v:imagedata r:id="rId260" o:title=""/>
          </v:shape>
        </w:pict>
      </w:r>
      <w:r>
        <w:rPr>
          <w:noProof/>
        </w:rPr>
        <w:pict>
          <v:shape id="_x0000_s1323" type="#_x0000_t75" style="width:485pt;height:115.55pt;margin-top:198.25pt;margin-left:53.25pt;mso-position-horizontal-relative:page;mso-position-vertical-relative:page;position:absolute;z-index:-251528192">
            <v:imagedata r:id="rId261" o:title=""/>
          </v:shape>
        </w:pict>
      </w:r>
    </w:p>
    <w:p>
      <w:pPr>
        <w:spacing w:line="0" w:lineRule="atLeast"/>
        <w:rPr>
          <w:rFonts w:ascii="Arial" w:eastAsiaTheme="minorEastAsia" w:hAnsiTheme="minorHAnsi" w:cstheme="minorBidi"/>
          <w:color w:val="FF0000"/>
          <w:sz w:val="2"/>
          <w:szCs w:val="22"/>
          <w:lang w:val="en-US" w:eastAsia="en-US" w:bidi="ar-SA"/>
        </w:rPr>
      </w:pPr>
      <w:bookmarkStart w:id="128" w:name="br1_127"/>
      <w:bookmarkEnd w:id="12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71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□适用√不适用</w:t>
      </w:r>
    </w:p>
    <w:p>
      <w:pPr>
        <w:framePr w:w="2981" w:x="1798" w:y="21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其他原因的合并范围变动</w:t>
      </w:r>
    </w:p>
    <w:p>
      <w:pPr>
        <w:framePr w:w="8266" w:x="1798" w:y="259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说明其他原因导致的合并范围变动（如，新设子公司、清算子公司等）及其相关情况：</w:t>
      </w:r>
    </w:p>
    <w:p>
      <w:pPr>
        <w:framePr w:w="8266" w:x="1798" w:y="2594"/>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216" w:x="1798" w:y="341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公司在香港设立全资子公司香港德胜实业有限公司，注册资本为</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10,000</w:t>
      </w:r>
      <w:r>
        <w:rPr>
          <w:rFonts w:ascii="SimSun" w:hAnsi="SimSun" w:eastAsiaTheme="minorEastAsia" w:cs="SimSun"/>
          <w:color w:val="000000"/>
          <w:spacing w:val="-7"/>
          <w:sz w:val="21"/>
          <w:szCs w:val="22"/>
          <w:lang w:val="en-US" w:eastAsia="en-US" w:bidi="ar-SA"/>
        </w:rPr>
        <w:t>港币，公司类型：有</w:t>
      </w:r>
    </w:p>
    <w:p>
      <w:pPr>
        <w:framePr w:w="9216" w:x="1798" w:y="341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限责任公司（非自然人投资或控股的法人独资），所属行业：批发和零售业，经营范围：国际贸</w:t>
      </w:r>
    </w:p>
    <w:p>
      <w:pPr>
        <w:framePr w:w="9216" w:x="1798" w:y="341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易代理；农药的批发、零售；农业技术、农药的技术开发、技术服务；货物及技术进出口业务</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依</w:t>
      </w:r>
    </w:p>
    <w:p>
      <w:pPr>
        <w:framePr w:w="9216" w:x="1798" w:y="3410"/>
        <w:widowControl w:val="0"/>
        <w:autoSpaceDE w:val="0"/>
        <w:autoSpaceDN w:val="0"/>
        <w:spacing w:before="197"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法须经批准的项目</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经相关部门批准后方可开展经营活动。</w:t>
      </w:r>
      <w:r>
        <w:rPr>
          <w:rFonts w:ascii="SimSun" w:eastAsiaTheme="minorEastAsia" w:hAnsiTheme="minorHAnsi" w:cstheme="minorBidi"/>
          <w:color w:val="000000"/>
          <w:sz w:val="21"/>
          <w:szCs w:val="22"/>
          <w:lang w:val="en-US" w:eastAsia="en-US" w:bidi="ar-SA"/>
        </w:rPr>
        <w:t>)</w:t>
      </w:r>
    </w:p>
    <w:p>
      <w:pPr>
        <w:framePr w:w="1082" w:x="1798" w:y="51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54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5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九、在其他主体中的权益</w:t>
      </w:r>
    </w:p>
    <w:p>
      <w:pPr>
        <w:framePr w:w="2566" w:x="1798" w:y="577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在子公司中的权益</w:t>
      </w:r>
    </w:p>
    <w:p>
      <w:pPr>
        <w:framePr w:w="2566" w:x="1798" w:y="5770"/>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企业集团的构成</w:t>
      </w:r>
    </w:p>
    <w:p>
      <w:pPr>
        <w:framePr w:w="2566" w:x="1798" w:y="577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74" w:x="1798" w:y="70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子公司</w:t>
      </w:r>
    </w:p>
    <w:p>
      <w:pPr>
        <w:framePr w:w="874" w:x="1798" w:y="705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402" w:x="7456" w:y="704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持股比例</w:t>
      </w:r>
      <w:r>
        <w:rPr>
          <w:rFonts w:ascii="SimSun" w:eastAsiaTheme="minorEastAsia" w:hAnsiTheme="minorHAnsi" w:cstheme="minorBidi"/>
          <w:color w:val="000000"/>
          <w:spacing w:val="-1"/>
          <w:sz w:val="21"/>
          <w:szCs w:val="22"/>
          <w:lang w:val="en-US" w:eastAsia="en-US" w:bidi="ar-SA"/>
        </w:rPr>
        <w:t>(%)</w:t>
      </w:r>
    </w:p>
    <w:p>
      <w:pPr>
        <w:framePr w:w="2163" w:x="2998" w:y="7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主要经营地</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注册地</w:t>
      </w:r>
    </w:p>
    <w:p>
      <w:pPr>
        <w:framePr w:w="1085" w:x="5557" w:y="7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业务性质</w:t>
      </w:r>
    </w:p>
    <w:p>
      <w:pPr>
        <w:framePr w:w="1085" w:x="9432" w:y="7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取得方式</w:t>
      </w:r>
    </w:p>
    <w:p>
      <w:pPr>
        <w:framePr w:w="662" w:x="6856" w:y="73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直接</w:t>
      </w:r>
    </w:p>
    <w:p>
      <w:pPr>
        <w:framePr w:w="662" w:x="8428" w:y="73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间接</w:t>
      </w:r>
    </w:p>
    <w:p>
      <w:pPr>
        <w:framePr w:w="3853" w:x="2998" w:y="7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潍坊滨海经</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潍坊滨海经</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化学农药制</w:t>
      </w:r>
    </w:p>
    <w:p>
      <w:pPr>
        <w:framePr w:w="3853" w:x="2998" w:y="76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济开发区</w:t>
      </w:r>
      <w:r>
        <w:rPr>
          <w:rFonts w:eastAsiaTheme="minorEastAsia" w:hAnsiTheme="minorHAnsi" w:cstheme="minorBidi"/>
          <w:color w:val="000000"/>
          <w:spacing w:val="395"/>
          <w:sz w:val="21"/>
          <w:szCs w:val="22"/>
          <w:lang w:val="en-US" w:eastAsia="en-US" w:bidi="ar-SA"/>
        </w:rPr>
        <w:t xml:space="preserve"> </w:t>
      </w:r>
      <w:r>
        <w:rPr>
          <w:rFonts w:ascii="SimSun" w:hAnsi="SimSun" w:eastAsiaTheme="minorEastAsia" w:cs="SimSun"/>
          <w:color w:val="000000"/>
          <w:sz w:val="21"/>
          <w:szCs w:val="22"/>
          <w:lang w:val="en-US" w:eastAsia="en-US" w:bidi="ar-SA"/>
        </w:rPr>
        <w:t>济开发区</w:t>
      </w:r>
    </w:p>
    <w:p>
      <w:pPr>
        <w:framePr w:w="3853" w:x="2998" w:y="762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济南市高新</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济南市高新</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化学农药研</w:t>
      </w:r>
    </w:p>
    <w:p>
      <w:pPr>
        <w:framePr w:w="3853" w:x="2998" w:y="76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区开发区</w:t>
      </w:r>
      <w:r>
        <w:rPr>
          <w:rFonts w:eastAsiaTheme="minorEastAsia" w:hAnsiTheme="minorHAnsi" w:cstheme="minorBidi"/>
          <w:color w:val="000000"/>
          <w:spacing w:val="395"/>
          <w:sz w:val="21"/>
          <w:szCs w:val="22"/>
          <w:lang w:val="en-US" w:eastAsia="en-US" w:bidi="ar-SA"/>
        </w:rPr>
        <w:t xml:space="preserve"> </w:t>
      </w:r>
      <w:r>
        <w:rPr>
          <w:rFonts w:ascii="SimSun" w:hAnsi="SimSun" w:eastAsiaTheme="minorEastAsia" w:cs="SimSun"/>
          <w:color w:val="000000"/>
          <w:sz w:val="21"/>
          <w:szCs w:val="22"/>
          <w:lang w:val="en-US" w:eastAsia="en-US" w:bidi="ar-SA"/>
        </w:rPr>
        <w:t>区开发区</w:t>
      </w:r>
      <w:r>
        <w:rPr>
          <w:rFonts w:eastAsiaTheme="minorEastAsia" w:hAnsiTheme="minorHAnsi" w:cstheme="minorBidi"/>
          <w:color w:val="000000"/>
          <w:spacing w:val="375"/>
          <w:sz w:val="21"/>
          <w:szCs w:val="22"/>
          <w:lang w:val="en-US" w:eastAsia="en-US" w:bidi="ar-SA"/>
        </w:rPr>
        <w:t xml:space="preserve"> </w:t>
      </w:r>
      <w:r>
        <w:rPr>
          <w:rFonts w:ascii="SimSun" w:hAnsi="SimSun" w:eastAsiaTheme="minorEastAsia" w:cs="SimSun"/>
          <w:color w:val="000000"/>
          <w:sz w:val="21"/>
          <w:szCs w:val="22"/>
          <w:lang w:val="en-US" w:eastAsia="en-US" w:bidi="ar-SA"/>
        </w:rPr>
        <w:t>发、销售</w:t>
      </w:r>
    </w:p>
    <w:p>
      <w:pPr>
        <w:framePr w:w="3853" w:x="2998" w:y="762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葫芦岛经济</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葫芦岛经济</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化学农药制</w:t>
      </w:r>
    </w:p>
    <w:p>
      <w:pPr>
        <w:framePr w:w="3853" w:x="2998" w:y="76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开发区</w:t>
      </w:r>
      <w:r>
        <w:rPr>
          <w:rFonts w:eastAsiaTheme="minorEastAsia" w:hAnsiTheme="minorHAnsi" w:cstheme="minorBidi"/>
          <w:color w:val="000000"/>
          <w:spacing w:val="6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开发区</w:t>
      </w:r>
    </w:p>
    <w:p>
      <w:pPr>
        <w:framePr w:w="3853" w:x="2998" w:y="762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济南市高新</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济南市高新</w:t>
      </w:r>
    </w:p>
    <w:p>
      <w:pPr>
        <w:framePr w:w="3853" w:x="2998" w:y="76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开发区</w:t>
      </w:r>
      <w:r>
        <w:rPr>
          <w:rFonts w:eastAsiaTheme="minorEastAsia" w:hAnsiTheme="minorHAnsi" w:cstheme="minorBidi"/>
          <w:color w:val="000000"/>
          <w:spacing w:val="6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开发区</w:t>
      </w:r>
    </w:p>
    <w:p>
      <w:pPr>
        <w:framePr w:w="3853" w:x="2998" w:y="7620"/>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滨州市博兴</w:t>
      </w:r>
      <w:r>
        <w:rPr>
          <w:rFonts w:eastAsiaTheme="minorEastAsia" w:hAnsiTheme="minorHAnsi" w:cstheme="minorBidi"/>
          <w:color w:val="000000"/>
          <w:spacing w:val="1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滨州市博兴</w:t>
      </w:r>
      <w:r>
        <w:rPr>
          <w:rFonts w:eastAsiaTheme="minorEastAsia" w:hAnsiTheme="minorHAnsi" w:cstheme="minorBidi"/>
          <w:color w:val="000000"/>
          <w:spacing w:val="1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科学研究和</w:t>
      </w:r>
    </w:p>
    <w:p>
      <w:pPr>
        <w:framePr w:w="1296" w:x="9432" w:y="76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同一控制下</w:t>
      </w:r>
    </w:p>
    <w:p>
      <w:pPr>
        <w:framePr w:w="1296" w:x="9432" w:y="762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w:t>
      </w:r>
    </w:p>
    <w:p>
      <w:pPr>
        <w:framePr w:w="1085" w:x="1798" w:y="77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085" w:x="1798" w:y="7757"/>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085" w:x="1798" w:y="7757"/>
        <w:widowControl w:val="0"/>
        <w:autoSpaceDE w:val="0"/>
        <w:autoSpaceDN w:val="0"/>
        <w:spacing w:before="3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874" w:x="6856" w:y="77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6856" w:y="7757"/>
        <w:widowControl w:val="0"/>
        <w:autoSpaceDE w:val="0"/>
        <w:autoSpaceDN w:val="0"/>
        <w:spacing w:before="34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6856" w:y="7757"/>
        <w:widowControl w:val="0"/>
        <w:autoSpaceDE w:val="0"/>
        <w:autoSpaceDN w:val="0"/>
        <w:spacing w:before="34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451" w:x="5557" w:y="78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造</w:t>
      </w:r>
    </w:p>
    <w:p>
      <w:pPr>
        <w:framePr w:w="1296" w:x="9432" w:y="81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同一控制下</w:t>
      </w:r>
    </w:p>
    <w:p>
      <w:pPr>
        <w:framePr w:w="1296" w:x="9432" w:y="817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w:t>
      </w:r>
    </w:p>
    <w:p>
      <w:pPr>
        <w:framePr w:w="662" w:x="9432" w:y="88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662" w:x="9432" w:y="8866"/>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662" w:x="9432" w:y="8866"/>
        <w:widowControl w:val="0"/>
        <w:autoSpaceDE w:val="0"/>
        <w:autoSpaceDN w:val="0"/>
        <w:spacing w:before="34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451" w:x="5557" w:y="900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造</w:t>
      </w:r>
    </w:p>
    <w:p>
      <w:pPr>
        <w:framePr w:w="1085" w:x="1798" w:y="92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济南瑞斯</w:t>
      </w:r>
    </w:p>
    <w:p>
      <w:pPr>
        <w:framePr w:w="1085" w:x="1798" w:y="928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邦</w:t>
      </w:r>
    </w:p>
    <w:p>
      <w:pPr>
        <w:framePr w:w="2172" w:x="5557" w:y="94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r>
        <w:rPr>
          <w:rFonts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100.00</w:t>
      </w:r>
    </w:p>
    <w:p>
      <w:pPr>
        <w:framePr w:w="1085" w:x="1798" w:y="98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w:t>
      </w:r>
    </w:p>
    <w:p>
      <w:pPr>
        <w:framePr w:w="1085" w:x="1798" w:y="983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信达</w:t>
      </w:r>
    </w:p>
    <w:p>
      <w:pPr>
        <w:framePr w:w="874" w:x="6856" w:y="997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451" w:x="2998" w:y="10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县</w:t>
      </w:r>
    </w:p>
    <w:p>
      <w:pPr>
        <w:framePr w:w="451" w:x="4287" w:y="10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县</w:t>
      </w:r>
    </w:p>
    <w:p>
      <w:pPr>
        <w:framePr w:w="1085" w:x="5557" w:y="10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技术服务</w:t>
      </w:r>
    </w:p>
    <w:p>
      <w:pPr>
        <w:framePr w:w="1085" w:x="1798" w:y="10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香港德胜</w:t>
      </w:r>
    </w:p>
    <w:p>
      <w:pPr>
        <w:framePr w:w="1085" w:x="1798"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沈阳万菱</w:t>
      </w:r>
    </w:p>
    <w:p>
      <w:pPr>
        <w:framePr w:w="1085" w:x="1798"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沈阳先达</w:t>
      </w:r>
    </w:p>
    <w:p>
      <w:pPr>
        <w:framePr w:w="662" w:x="2998" w:y="10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香港</w:t>
      </w:r>
    </w:p>
    <w:p>
      <w:pPr>
        <w:framePr w:w="662" w:x="2998"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662" w:x="2998"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662" w:x="4287" w:y="10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香港</w:t>
      </w:r>
    </w:p>
    <w:p>
      <w:pPr>
        <w:framePr w:w="662" w:x="4287"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662" w:x="4287"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沈阳</w:t>
      </w:r>
    </w:p>
    <w:p>
      <w:pPr>
        <w:framePr w:w="2172" w:x="5557" w:y="103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r>
        <w:rPr>
          <w:rFonts w:eastAsiaTheme="minorEastAsia" w:hAnsiTheme="minorHAnsi" w:cstheme="minorBidi"/>
          <w:color w:val="000000"/>
          <w:spacing w:val="19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100.00</w:t>
      </w:r>
    </w:p>
    <w:p>
      <w:pPr>
        <w:framePr w:w="2172" w:x="5557"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662" w:x="9432" w:y="10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662" w:x="9432"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662" w:x="9432" w:y="10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设立</w:t>
      </w:r>
    </w:p>
    <w:p>
      <w:pPr>
        <w:framePr w:w="874" w:x="8428" w:y="106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874" w:x="8428" w:y="1067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100.00</w:t>
      </w:r>
    </w:p>
    <w:p>
      <w:pPr>
        <w:framePr w:w="1296" w:x="5557" w:y="10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批发和零售</w:t>
      </w:r>
    </w:p>
    <w:p>
      <w:pPr>
        <w:framePr w:w="4675" w:x="1798" w:y="11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在子公司的持股比例不同于表决权比例的说明：</w:t>
      </w:r>
    </w:p>
    <w:p>
      <w:pPr>
        <w:framePr w:w="4675" w:x="1798" w:y="1151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110" w:x="1798" w:y="123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持有半数或以下表决权但仍控制被投资单位、以及持有半数以上表决权但不控制被投资单位的依</w:t>
      </w:r>
    </w:p>
    <w:p>
      <w:pPr>
        <w:framePr w:w="662" w:x="1798" w:y="12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据：</w:t>
      </w:r>
    </w:p>
    <w:p>
      <w:pPr>
        <w:framePr w:w="451" w:x="1798" w:y="131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5309" w:x="1798" w:y="135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对于纳入合并范围的重要的结构化主体，控制的依据：</w:t>
      </w:r>
    </w:p>
    <w:p>
      <w:pPr>
        <w:framePr w:w="451" w:x="1798" w:y="139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3830" w:x="1798" w:y="143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确定公司是代理人还是委托人的依据：</w:t>
      </w:r>
    </w:p>
    <w:p>
      <w:pPr>
        <w:framePr w:w="3830" w:x="1798" w:y="14372"/>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129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4" type="#_x0000_t75" style="width:445.6pt;height:2.7pt;margin-top:53.65pt;margin-left:87.45pt;mso-position-horizontal-relative:page;mso-position-vertical-relative:page;position:absolute;z-index:-251417600">
            <v:imagedata r:id="rId262" o:title=""/>
          </v:shape>
        </w:pict>
      </w:r>
      <w:r>
        <w:rPr>
          <w:noProof/>
        </w:rPr>
        <w:pict>
          <v:shape id="_x0000_s1325" type="#_x0000_t75" style="width:454.95pt;height:212pt;margin-top:349.5pt;margin-left:83.25pt;mso-position-horizontal-relative:page;mso-position-vertical-relative:page;position:absolute;z-index:-251527168">
            <v:imagedata r:id="rId263" o:title=""/>
          </v:shape>
        </w:pict>
      </w:r>
    </w:p>
    <w:p>
      <w:pPr>
        <w:spacing w:line="0" w:lineRule="atLeast"/>
        <w:rPr>
          <w:rFonts w:ascii="Arial" w:eastAsiaTheme="minorEastAsia" w:hAnsiTheme="minorHAnsi" w:cstheme="minorBidi"/>
          <w:color w:val="FF0000"/>
          <w:sz w:val="2"/>
          <w:szCs w:val="22"/>
          <w:lang w:val="en-US" w:eastAsia="en-US" w:bidi="ar-SA"/>
        </w:rPr>
      </w:pPr>
      <w:bookmarkStart w:id="129" w:name="br1_128"/>
      <w:bookmarkEnd w:id="12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296"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2784" w:x="1798" w:y="26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重要的非全资子公司</w:t>
      </w:r>
    </w:p>
    <w:p>
      <w:pPr>
        <w:framePr w:w="1817" w:x="1798" w:y="31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046" w:x="1798" w:y="3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重要非全资子公司的主要财务信息</w:t>
      </w:r>
    </w:p>
    <w:p>
      <w:pPr>
        <w:framePr w:w="1817" w:x="1798" w:y="42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31" w:x="1798" w:y="48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使用企业集团资产和清偿企业集团债务的重大限制：</w:t>
      </w:r>
    </w:p>
    <w:p>
      <w:pPr>
        <w:framePr w:w="1817" w:x="1798" w:y="5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210" w:x="1798" w:y="59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向纳入合并财务报表范围的结构化主体提供的财务支持或其他支持：</w:t>
      </w:r>
    </w:p>
    <w:p>
      <w:pPr>
        <w:framePr w:w="1817" w:x="1798" w:y="63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6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73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142" w:x="1798" w:y="79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在子公司的所有者权益份额发生变化且仍控制子公司的交易</w:t>
      </w:r>
    </w:p>
    <w:p>
      <w:pPr>
        <w:framePr w:w="6142" w:x="1798" w:y="793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2" w:x="1798" w:y="88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在合营企业或联营企业中的权益</w:t>
      </w:r>
    </w:p>
    <w:p>
      <w:pPr>
        <w:framePr w:w="3612" w:x="1798" w:y="8871"/>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38" w:x="1798" w:y="9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重要的共同经营</w:t>
      </w:r>
    </w:p>
    <w:p>
      <w:pPr>
        <w:framePr w:w="1817" w:x="1798" w:y="104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110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在未纳入合并财务报表范围的结构化主体中的权益</w:t>
      </w:r>
    </w:p>
    <w:p>
      <w:pPr>
        <w:framePr w:w="5098" w:x="1798" w:y="11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未纳入合并财务报表范围的结构化主体的相关说明：</w:t>
      </w:r>
    </w:p>
    <w:p>
      <w:pPr>
        <w:framePr w:w="5098" w:x="1798" w:y="114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2" w:x="1798" w:y="124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12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4" w:x="1798" w:y="135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十、与金融工具相关的风险</w:t>
      </w:r>
    </w:p>
    <w:p>
      <w:pPr>
        <w:framePr w:w="1817" w:x="1798" w:y="14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4449"/>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本公司的主要金融工具包括货币资金、股权投资、借款、应收款项、应付款项等。在日常活</w:t>
      </w:r>
    </w:p>
    <w:p>
      <w:pPr>
        <w:framePr w:w="9110" w:x="1798" w:y="1444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动中面临各种金融工具的风险，主要包括信用风险、流动性风险、市场风险。与这些金融工具相</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6" type="#_x0000_t75" style="width:445.6pt;height:2.7pt;margin-top:53.65pt;margin-left:87.45pt;mso-position-horizontal-relative:page;mso-position-vertical-relative:page;position:absolute;z-index:-251526144">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30" w:name="br1_129"/>
      <w:bookmarkEnd w:id="13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998"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关的风险，以及本公司为降低这些风险所采取的风险管理政策如下所述：</w:t>
      </w:r>
    </w:p>
    <w:p>
      <w:pPr>
        <w:framePr w:w="9110" w:x="1798" w:y="194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董事会负责规划并建立本公司的风险管理架构，制定本公司的风险管理政策和相关指引并监</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督风险管理措施的执行情况。本公司已制定风险管理政策以识别和分析本公司所面临的风险，这</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些风险管理政策对特定风险进行了明确规定，涵盖了市场风险、信用风险和流动性风险管理等诸</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多方面。本公司定期评估市场环境及本公司经营活动的变化以决定是否对风险管理政策及系统进</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行更新。本公司的风险管理由风险管理委员会按照董事会批准的政策开展。风险管理委员会通过</w:t>
      </w:r>
    </w:p>
    <w:p>
      <w:pPr>
        <w:framePr w:w="9110" w:x="1798" w:y="194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与本公司其他业务部门的紧密合作来识别、评价和规避相关风险。本公司内部审计部门就风险管</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理控制及程序进行定期的审核，并将审核结果上报本公司的审计委员会。本公司通过适当的多样</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化投资及业务组合来分散金融工具风险，并通过制定相应的风险管理政策减少集中于单一行业、</w:t>
      </w:r>
    </w:p>
    <w:p>
      <w:pPr>
        <w:framePr w:w="9110" w:x="1798" w:y="194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特定地区或特定交易对手的风险。</w:t>
      </w:r>
    </w:p>
    <w:p>
      <w:pPr>
        <w:framePr w:w="1740" w:x="2223" w:y="56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（一）信用风险</w:t>
      </w:r>
    </w:p>
    <w:p>
      <w:pPr>
        <w:framePr w:w="9076" w:x="1798" w:y="6032"/>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信用风险是指交易对手未能履行合同义务而导致本公司产生财务损失的风险，管理层已制定</w:t>
      </w:r>
    </w:p>
    <w:p>
      <w:pPr>
        <w:framePr w:w="9076" w:x="1798" w:y="60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适当的信用政策，并且不断监察信用风险的敞口。</w:t>
      </w:r>
    </w:p>
    <w:p>
      <w:pPr>
        <w:framePr w:w="9110" w:x="1798" w:y="684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本公司已采取政策只与信用良好的交易对手进行交易。另外，本公司基于对客户的财务状况、</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从第三方获取担保的可能性、信用记录及其它因素诸如目前市场状况等评估客户的信用资质并设</w:t>
      </w:r>
    </w:p>
    <w:p>
      <w:pPr>
        <w:framePr w:w="9110" w:x="1798" w:y="684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置相应信用期。本公司对应收票据、应收账款余额及收回情况进行持续监控，对于信用记录不良</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的客户，本公司会采用书面催款、缩短信用期或取消信用期等方式，以确保本公司不致面临重大</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信用损失。此外，本公司于每个资产负债表日审核金融资产的回收情况，以确保相关金融资产计</w:t>
      </w:r>
    </w:p>
    <w:p>
      <w:pPr>
        <w:framePr w:w="9110" w:x="1798" w:y="68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提了充分的预期信用损失准备。</w:t>
      </w:r>
    </w:p>
    <w:p>
      <w:pPr>
        <w:framePr w:w="9110" w:x="1798" w:y="9298"/>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本公司其他金融资产包括货币资金、其他应收款等，这些金融资产的信用风险源自于交易对</w:t>
      </w:r>
    </w:p>
    <w:p>
      <w:pPr>
        <w:framePr w:w="9110"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手违约，最大信用风险敞口为资产负债表中每项金融资产的账面金额。除本公司作出的对合并范</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围内子公司财务担保外，本公司没有提供任何其他可能令本公司承受信用风险的担保。</w:t>
      </w:r>
    </w:p>
    <w:p>
      <w:pPr>
        <w:framePr w:w="9110" w:x="1798" w:y="9298"/>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本公司持有的货币资金主要存放于国有控股银行和其他大中型商业银行等金融机构，管理层</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认为这些商业银行具备较高信誉和资产状况，不存在重大的信用风险，不会产生因对方单位违约</w:t>
      </w:r>
    </w:p>
    <w:p>
      <w:pPr>
        <w:framePr w:w="9110" w:x="1798" w:y="9298"/>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而导致的任何重大损失。本公司的政策是根据各知名金融机构的市场信誉、经营规模及财务背景</w:t>
      </w:r>
    </w:p>
    <w:p>
      <w:pPr>
        <w:framePr w:w="9110" w:x="1798" w:y="929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来控制存放当中的存款金额，以限制对任何单个金融机构的信用风险金额。</w:t>
      </w:r>
    </w:p>
    <w:p>
      <w:pPr>
        <w:framePr w:w="9322" w:x="1798" w:y="12160"/>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作为本公司信用风险资产管理的一部分，本公司利用账龄来评估应收账款和其他应收款的减</w:t>
      </w:r>
    </w:p>
    <w:p>
      <w:pPr>
        <w:framePr w:w="9322" w:x="179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值损失。本公司的应收账款和其他应收款涉及大量客户，账龄信息可以反映这些客户对于应收账</w:t>
      </w:r>
    </w:p>
    <w:p>
      <w:pPr>
        <w:framePr w:w="9322" w:x="179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款和其他应收款的偿付能力和坏账风险。本公司根据历史数据计算不同账龄期间的历史实际坏账</w:t>
      </w:r>
    </w:p>
    <w:p>
      <w:pPr>
        <w:framePr w:w="9322" w:x="1798" w:y="12160"/>
        <w:widowControl w:val="0"/>
        <w:autoSpaceDE w:val="0"/>
        <w:autoSpaceDN w:val="0"/>
        <w:spacing w:before="192" w:line="234"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率，并考虑了当前及未来经济状况的预测，如国家</w:t>
      </w:r>
      <w:r>
        <w:rPr>
          <w:rFonts w:eastAsiaTheme="minorEastAsia" w:hAnsiTheme="minorHAnsi" w:cstheme="minorBidi"/>
          <w:color w:val="000000"/>
          <w:spacing w:val="1"/>
          <w:sz w:val="21"/>
          <w:szCs w:val="22"/>
          <w:lang w:val="en-US" w:eastAsia="en-US" w:bidi="ar-SA"/>
        </w:rPr>
        <w:t xml:space="preserve"> </w:t>
      </w:r>
      <w:r>
        <w:rPr>
          <w:rFonts w:eastAsiaTheme="minorEastAsia" w:hAnsiTheme="minorHAnsi" w:cstheme="minorBidi"/>
          <w:color w:val="000000"/>
          <w:sz w:val="21"/>
          <w:szCs w:val="22"/>
          <w:lang w:val="en-US" w:eastAsia="en-US" w:bidi="ar-SA"/>
        </w:rPr>
        <w:t>GDP</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3"/>
          <w:sz w:val="21"/>
          <w:szCs w:val="22"/>
          <w:lang w:val="en-US" w:eastAsia="en-US" w:bidi="ar-SA"/>
        </w:rPr>
        <w:t>增速、基建投资总额、国家货币政策等前</w:t>
      </w:r>
    </w:p>
    <w:p>
      <w:pPr>
        <w:framePr w:w="9322" w:x="1798" w:y="12160"/>
        <w:widowControl w:val="0"/>
        <w:autoSpaceDE w:val="0"/>
        <w:autoSpaceDN w:val="0"/>
        <w:spacing w:before="18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瞻性信息进行调整得出预期损失率。对于长期应收款，本公司综合考虑结算期、合同约定付款期、</w:t>
      </w:r>
    </w:p>
    <w:p>
      <w:pPr>
        <w:framePr w:w="9322" w:x="179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债务人的财务状况和债务人所处行业的经济形势，并考虑上述前瞻性信息进行调整后对于预期信</w:t>
      </w:r>
    </w:p>
    <w:p>
      <w:pPr>
        <w:framePr w:w="9322" w:x="1798" w:y="1216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用损失进行合理评估。</w:t>
      </w:r>
    </w:p>
    <w:p>
      <w:pPr>
        <w:framePr w:w="7386" w:x="2218" w:y="1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日，相关资产的账面余额与预期信用减值损失情况如下：</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7" type="#_x0000_t75" style="width:445.6pt;height:2.7pt;margin-top:53.65pt;margin-left:87.45pt;mso-position-horizontal-relative:page;mso-position-vertical-relative:page;position:absolute;z-index:-25152512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31" w:name="br1_130"/>
      <w:bookmarkEnd w:id="13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00" w:x="3221" w:y="161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账龄</w:t>
      </w:r>
    </w:p>
    <w:p>
      <w:pPr>
        <w:framePr w:w="600" w:x="3221" w:y="1615"/>
        <w:widowControl w:val="0"/>
        <w:autoSpaceDE w:val="0"/>
        <w:autoSpaceDN w:val="0"/>
        <w:spacing w:before="1219"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合计</w:t>
      </w:r>
    </w:p>
    <w:p>
      <w:pPr>
        <w:framePr w:w="960" w:x="6183" w:y="161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账面余额</w:t>
      </w:r>
    </w:p>
    <w:p>
      <w:pPr>
        <w:framePr w:w="960" w:x="8994" w:y="161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减值准备</w:t>
      </w:r>
    </w:p>
    <w:p>
      <w:pPr>
        <w:framePr w:w="1140" w:x="1798" w:y="1966"/>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应收票据</w:t>
      </w:r>
    </w:p>
    <w:p>
      <w:pPr>
        <w:framePr w:w="1140" w:x="1798" w:y="1966"/>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应收账款</w:t>
      </w:r>
    </w:p>
    <w:p>
      <w:pPr>
        <w:framePr w:w="1140" w:x="1798" w:y="1966"/>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其他应收款</w:t>
      </w:r>
    </w:p>
    <w:p>
      <w:pPr>
        <w:framePr w:w="1052" w:x="7053" w:y="196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50,000.00</w:t>
      </w:r>
    </w:p>
    <w:p>
      <w:pPr>
        <w:framePr w:w="1500" w:x="6604" w:y="231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390,748,103.15</w:t>
      </w:r>
    </w:p>
    <w:p>
      <w:pPr>
        <w:framePr w:w="1500" w:x="6604" w:y="2316"/>
        <w:widowControl w:val="0"/>
        <w:autoSpaceDE w:val="0"/>
        <w:autoSpaceDN w:val="0"/>
        <w:spacing w:before="170" w:line="180" w:lineRule="exact"/>
        <w:ind w:left="180"/>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1,549,307.94</w:t>
      </w:r>
    </w:p>
    <w:p>
      <w:pPr>
        <w:framePr w:w="1411" w:x="9460" w:y="231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21,958,630.05</w:t>
      </w:r>
    </w:p>
    <w:p>
      <w:pPr>
        <w:framePr w:w="1140" w:x="9732" w:y="2667"/>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131,643.62</w:t>
      </w:r>
    </w:p>
    <w:p>
      <w:pPr>
        <w:framePr w:w="1500" w:x="6604" w:y="301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392,347,411.09</w:t>
      </w:r>
    </w:p>
    <w:p>
      <w:pPr>
        <w:framePr w:w="1411" w:x="9460" w:y="3015"/>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22,090,273.67</w:t>
      </w:r>
    </w:p>
    <w:p>
      <w:pPr>
        <w:framePr w:w="5286" w:x="2218" w:y="34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日，本公司未对外提供财务担保。</w:t>
      </w:r>
    </w:p>
    <w:p>
      <w:pPr>
        <w:framePr w:w="9075" w:x="1798" w:y="386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本公司的主要客户为国内外农药厂商等，该等客户具有可靠及良好的信誉，因此，本公司认</w:t>
      </w:r>
    </w:p>
    <w:p>
      <w:pPr>
        <w:framePr w:w="9075" w:x="1798" w:y="386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为该等客户并无重大信用风险。由于本公司的客户广泛，因此没有重大的信用集中风险。</w:t>
      </w:r>
    </w:p>
    <w:p>
      <w:pPr>
        <w:framePr w:w="9075" w:x="1798" w:y="386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根据公司自身情况，对上述存在信用风险的报表项目进行进一步描述，举例如下：</w:t>
      </w:r>
    </w:p>
    <w:p>
      <w:pPr>
        <w:framePr w:w="9075" w:x="1798" w:y="386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日，本公司的前五大客户的应收账款占本公司应收账款总额</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41.68%</w:t>
      </w:r>
      <w:r>
        <w:rPr>
          <w:rFonts w:ascii="SimSun" w:hAnsi="SimSun" w:eastAsiaTheme="minorEastAsia" w:cs="SimSun"/>
          <w:color w:val="000000"/>
          <w:sz w:val="21"/>
          <w:szCs w:val="22"/>
          <w:lang w:val="en-US" w:eastAsia="en-US" w:bidi="ar-SA"/>
        </w:rPr>
        <w:t>。</w:t>
      </w:r>
    </w:p>
    <w:p>
      <w:pPr>
        <w:framePr w:w="9075" w:x="1798" w:y="3866"/>
        <w:widowControl w:val="0"/>
        <w:autoSpaceDE w:val="0"/>
        <w:autoSpaceDN w:val="0"/>
        <w:spacing w:before="197"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本公司投资的银行理财产品，交易对方的信用评级须高于或与本公司相同。鉴于交易对方的</w:t>
      </w:r>
    </w:p>
    <w:p>
      <w:pPr>
        <w:framePr w:w="9075" w:x="1798" w:y="386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信用评级良好，本公司管理层并不预期交易对方会无法履行义务。</w:t>
      </w:r>
    </w:p>
    <w:p>
      <w:pPr>
        <w:framePr w:w="1951" w:x="2223" w:y="64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（二）流动性风险</w:t>
      </w:r>
    </w:p>
    <w:p>
      <w:pPr>
        <w:framePr w:w="9322" w:x="1798" w:y="684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流动性风险是指本公司在履行以交付现金或其他金融资产的方式结算的义务时发生资金短缺</w:t>
      </w:r>
    </w:p>
    <w:p>
      <w:pPr>
        <w:framePr w:w="9322" w:x="1798" w:y="68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的风险。本公司下属成员企业各自负责其现金流量预测。公司下属财务部门基于各成员企业的现</w:t>
      </w:r>
    </w:p>
    <w:p>
      <w:pPr>
        <w:framePr w:w="9322" w:x="1798" w:y="684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金流量预测结果，在公司层面持续监控公司短期和长期的资金需求，以确保维持充裕的现金储备；</w:t>
      </w:r>
    </w:p>
    <w:p>
      <w:pPr>
        <w:framePr w:w="9322" w:x="1798" w:y="68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同时持续监控是否符合借款协议的规定，从主要金融机构获得提供足够备用资金的承诺，以满足</w:t>
      </w:r>
    </w:p>
    <w:p>
      <w:pPr>
        <w:framePr w:w="9322" w:x="1798" w:y="68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短期和长期的资金需求。此外，本公司与主要业务往来银行订立融资额度授信协议，为本公司履</w:t>
      </w:r>
    </w:p>
    <w:p>
      <w:pPr>
        <w:framePr w:w="9322" w:x="1798" w:y="684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行与商业票据相关的义务提供支持。</w:t>
      </w:r>
    </w:p>
    <w:p>
      <w:pPr>
        <w:framePr w:w="9078" w:x="1798" w:y="9296"/>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6"/>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日，本公司金融负债和表外担保项目以未折现的合同现金流量按合同剩</w:t>
      </w:r>
    </w:p>
    <w:p>
      <w:pPr>
        <w:framePr w:w="9078" w:x="1798" w:y="929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余期限列示如下：</w:t>
      </w:r>
    </w:p>
    <w:p>
      <w:pPr>
        <w:framePr w:w="960" w:x="7096" w:y="1019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期末余额</w:t>
      </w:r>
    </w:p>
    <w:p>
      <w:pPr>
        <w:framePr w:w="600" w:x="2415" w:y="10367"/>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3046" w:x="3656" w:y="105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即时偿还</w:t>
      </w:r>
      <w:r>
        <w:rPr>
          <w:rFonts w:eastAsiaTheme="minorEastAsia" w:hAnsiTheme="minorHAnsi" w:cstheme="minorBidi"/>
          <w:color w:val="000000"/>
          <w:spacing w:val="229"/>
          <w:sz w:val="18"/>
          <w:szCs w:val="22"/>
          <w:lang w:val="en-US" w:eastAsia="en-US" w:bidi="ar-SA"/>
        </w:rPr>
        <w:t xml:space="preserve"> </w:t>
      </w:r>
      <w:r>
        <w:rPr>
          <w:rFonts w:ascii="SimSun" w:eastAsiaTheme="minorEastAsia" w:hAnsiTheme="minorHAnsi" w:cstheme="minorBidi"/>
          <w:color w:val="000000"/>
          <w:spacing w:val="47"/>
          <w:sz w:val="18"/>
          <w:szCs w:val="22"/>
          <w:lang w:val="en-US" w:eastAsia="en-US" w:bidi="ar-SA"/>
        </w:rPr>
        <w:t>1</w:t>
      </w:r>
      <w:r>
        <w:rPr>
          <w:rFonts w:ascii="SimSun" w:hAnsi="SimSun" w:eastAsiaTheme="minorEastAsia" w:cs="SimSun"/>
          <w:color w:val="000000"/>
          <w:sz w:val="18"/>
          <w:szCs w:val="22"/>
          <w:lang w:val="en-US" w:eastAsia="en-US" w:bidi="ar-SA"/>
        </w:rPr>
        <w:t>个月以内</w:t>
      </w:r>
      <w:r>
        <w:rPr>
          <w:rFonts w:eastAsiaTheme="minorEastAsia" w:hAnsiTheme="minorHAnsi" w:cstheme="minorBidi"/>
          <w:color w:val="000000"/>
          <w:spacing w:val="233"/>
          <w:sz w:val="18"/>
          <w:szCs w:val="22"/>
          <w:lang w:val="en-US" w:eastAsia="en-US" w:bidi="ar-SA"/>
        </w:rPr>
        <w:t xml:space="preserve"> </w:t>
      </w:r>
      <w:r>
        <w:rPr>
          <w:rFonts w:ascii="SimSun" w:eastAsiaTheme="minorEastAsia" w:hAnsiTheme="minorHAnsi" w:cstheme="minorBidi"/>
          <w:color w:val="000000"/>
          <w:sz w:val="18"/>
          <w:szCs w:val="22"/>
          <w:lang w:val="en-US" w:eastAsia="en-US" w:bidi="ar-SA"/>
        </w:rPr>
        <w:t>1-3</w:t>
      </w:r>
      <w:r>
        <w:rPr>
          <w:rFonts w:ascii="SimSun" w:hAnsi="SimSun" w:eastAsiaTheme="minorEastAsia" w:cs="SimSun"/>
          <w:color w:val="000000"/>
          <w:sz w:val="18"/>
          <w:szCs w:val="22"/>
          <w:lang w:val="en-US" w:eastAsia="en-US" w:bidi="ar-SA"/>
        </w:rPr>
        <w:t>个月</w:t>
      </w:r>
    </w:p>
    <w:p>
      <w:pPr>
        <w:framePr w:w="1142" w:x="6947" w:y="105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47"/>
          <w:sz w:val="18"/>
          <w:szCs w:val="22"/>
          <w:lang w:val="en-US" w:eastAsia="en-US" w:bidi="ar-SA"/>
        </w:rPr>
        <w:t>3</w:t>
      </w:r>
      <w:r>
        <w:rPr>
          <w:rFonts w:ascii="SimSun" w:hAnsi="SimSun" w:eastAsiaTheme="minorEastAsia" w:cs="SimSun"/>
          <w:color w:val="000000"/>
          <w:sz w:val="18"/>
          <w:szCs w:val="22"/>
          <w:lang w:val="en-US" w:eastAsia="en-US" w:bidi="ar-SA"/>
        </w:rPr>
        <w:t>个月</w:t>
      </w:r>
      <w:r>
        <w:rPr>
          <w:rFonts w:ascii="SimSun"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年</w:t>
      </w:r>
    </w:p>
    <w:p>
      <w:pPr>
        <w:framePr w:w="737" w:x="8711" w:y="105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1-5</w:t>
      </w:r>
      <w:r>
        <w:rPr>
          <w:rFonts w:ascii="SimSun" w:hAnsi="SimSun" w:eastAsiaTheme="minorEastAsia" w:cs="SimSun"/>
          <w:color w:val="000000"/>
          <w:sz w:val="18"/>
          <w:szCs w:val="22"/>
          <w:lang w:val="en-US" w:eastAsia="en-US" w:bidi="ar-SA"/>
        </w:rPr>
        <w:t>年</w:t>
      </w:r>
    </w:p>
    <w:p>
      <w:pPr>
        <w:framePr w:w="917" w:x="9895" w:y="105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eastAsiaTheme="minorEastAsia" w:hAnsiTheme="minorHAnsi" w:cstheme="minorBidi"/>
          <w:color w:val="000000"/>
          <w:spacing w:val="47"/>
          <w:sz w:val="18"/>
          <w:szCs w:val="22"/>
          <w:lang w:val="en-US" w:eastAsia="en-US" w:bidi="ar-SA"/>
        </w:rPr>
        <w:t>5</w:t>
      </w:r>
      <w:r>
        <w:rPr>
          <w:rFonts w:ascii="SimSun" w:hAnsi="SimSun" w:eastAsiaTheme="minorEastAsia" w:cs="SimSun"/>
          <w:color w:val="000000"/>
          <w:sz w:val="18"/>
          <w:szCs w:val="22"/>
          <w:lang w:val="en-US" w:eastAsia="en-US" w:bidi="ar-SA"/>
        </w:rPr>
        <w:t>年以上</w:t>
      </w:r>
    </w:p>
    <w:p>
      <w:pPr>
        <w:framePr w:w="600" w:x="10888" w:y="1054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合计</w:t>
      </w:r>
    </w:p>
    <w:p>
      <w:pPr>
        <w:framePr w:w="1500" w:x="1736" w:y="10892"/>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非衍生金融负债</w:t>
      </w:r>
    </w:p>
    <w:p>
      <w:pPr>
        <w:framePr w:w="1500" w:x="1736" w:y="10892"/>
        <w:widowControl w:val="0"/>
        <w:autoSpaceDE w:val="0"/>
        <w:autoSpaceDN w:val="0"/>
        <w:spacing w:before="170" w:line="180" w:lineRule="exact"/>
        <w:ind w:left="180"/>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短期借款</w:t>
      </w:r>
    </w:p>
    <w:p>
      <w:pPr>
        <w:framePr w:w="960" w:x="1916" w:y="1159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应付票据</w:t>
      </w:r>
    </w:p>
    <w:p>
      <w:pPr>
        <w:framePr w:w="1500" w:x="6810" w:y="1159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314,250,000.00</w:t>
      </w:r>
    </w:p>
    <w:p>
      <w:pPr>
        <w:framePr w:w="1500" w:x="6810" w:y="11593"/>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203,784,605.59</w:t>
      </w:r>
    </w:p>
    <w:p>
      <w:pPr>
        <w:framePr w:w="960" w:x="1916" w:y="1194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应付账款</w:t>
      </w:r>
    </w:p>
    <w:p>
      <w:pPr>
        <w:framePr w:w="1140" w:x="1916" w:y="12295"/>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其他应付款</w:t>
      </w:r>
    </w:p>
    <w:p>
      <w:pPr>
        <w:framePr w:w="1140" w:x="1916" w:y="12295"/>
        <w:widowControl w:val="0"/>
        <w:autoSpaceDE w:val="0"/>
        <w:autoSpaceDN w:val="0"/>
        <w:spacing w:before="168"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长期借款</w:t>
      </w:r>
    </w:p>
    <w:p>
      <w:pPr>
        <w:framePr w:w="1412" w:x="6899" w:y="12340"/>
        <w:widowControl w:val="0"/>
        <w:autoSpaceDE w:val="0"/>
        <w:autoSpaceDN w:val="0"/>
        <w:spacing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2,209,870.29</w:t>
      </w:r>
    </w:p>
    <w:p>
      <w:pPr>
        <w:framePr w:w="1412" w:x="6899" w:y="12340"/>
        <w:widowControl w:val="0"/>
        <w:autoSpaceDE w:val="0"/>
        <w:autoSpaceDN w:val="0"/>
        <w:spacing w:before="122"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12,250,000.00</w:t>
      </w:r>
    </w:p>
    <w:p>
      <w:pPr>
        <w:framePr w:w="1412" w:x="8459" w:y="1264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57,250,000.00</w:t>
      </w:r>
    </w:p>
    <w:p>
      <w:pPr>
        <w:framePr w:w="1412" w:x="8459" w:y="12643"/>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57,250,000.00</w:t>
      </w:r>
    </w:p>
    <w:p>
      <w:pPr>
        <w:framePr w:w="1860" w:x="1736" w:y="1299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非衍生金融负债小计</w:t>
      </w:r>
    </w:p>
    <w:p>
      <w:pPr>
        <w:framePr w:w="1860" w:x="1736" w:y="12993"/>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衍生金融负债</w:t>
      </w:r>
    </w:p>
    <w:p>
      <w:pPr>
        <w:framePr w:w="1860" w:x="1736" w:y="12993"/>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财务担保</w:t>
      </w:r>
    </w:p>
    <w:p>
      <w:pPr>
        <w:framePr w:w="1500" w:x="6810" w:y="12986"/>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532,494,475.88</w:t>
      </w:r>
    </w:p>
    <w:p>
      <w:pPr>
        <w:framePr w:w="1500" w:x="6810" w:y="12986"/>
        <w:widowControl w:val="0"/>
        <w:autoSpaceDE w:val="0"/>
        <w:autoSpaceDN w:val="0"/>
        <w:spacing w:before="87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532,494,475.88</w:t>
      </w:r>
    </w:p>
    <w:p>
      <w:pPr>
        <w:framePr w:w="600" w:x="2415" w:y="1404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合计</w:t>
      </w:r>
    </w:p>
    <w:p>
      <w:pPr>
        <w:framePr w:w="1411" w:x="8459" w:y="1404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57,250,000.00</w:t>
      </w:r>
    </w:p>
    <w:p>
      <w:pPr>
        <w:framePr w:w="1740" w:x="2223" w:y="14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（三）市场风险</w:t>
      </w:r>
    </w:p>
    <w:p>
      <w:pPr>
        <w:framePr w:w="1296" w:x="2220" w:y="148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汇率风险</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8" type="#_x0000_t75" style="width:445.6pt;height:2.7pt;margin-top:53.65pt;margin-left:87.45pt;mso-position-horizontal-relative:page;mso-position-vertical-relative:page;position:absolute;z-index:-251351040">
            <v:imagedata r:id="rId264" o:title=""/>
          </v:shape>
        </w:pict>
      </w:r>
      <w:r>
        <w:rPr>
          <w:noProof/>
        </w:rPr>
        <w:pict>
          <v:shape id="_x0000_s1329" type="#_x0000_t75" style="width:455.2pt;height:92pt;margin-top:74.3pt;margin-left:82.8pt;mso-position-horizontal-relative:page;mso-position-vertical-relative:page;position:absolute;z-index:-251416576">
            <v:imagedata r:id="rId265" o:title=""/>
          </v:shape>
        </w:pict>
      </w:r>
      <w:r>
        <w:rPr>
          <w:noProof/>
        </w:rPr>
        <w:pict>
          <v:shape id="_x0000_s1330" type="#_x0000_t75" style="width:488.8pt;height:214.55pt;margin-top:503.25pt;margin-left:82.8pt;mso-position-horizontal-relative:page;mso-position-vertical-relative:page;position:absolute;z-index:-251524096">
            <v:imagedata r:id="rId266" o:title=""/>
          </v:shape>
        </w:pict>
      </w:r>
    </w:p>
    <w:p>
      <w:pPr>
        <w:spacing w:line="0" w:lineRule="atLeast"/>
        <w:rPr>
          <w:rFonts w:ascii="Arial" w:eastAsiaTheme="minorEastAsia" w:hAnsiTheme="minorHAnsi" w:cstheme="minorBidi"/>
          <w:color w:val="FF0000"/>
          <w:sz w:val="2"/>
          <w:szCs w:val="22"/>
          <w:lang w:val="en-US" w:eastAsia="en-US" w:bidi="ar-SA"/>
        </w:rPr>
      </w:pPr>
      <w:bookmarkStart w:id="132" w:name="br1_131"/>
      <w:bookmarkEnd w:id="13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110" w:x="1798" w:y="153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本公司的主要经营位于中国境内，主要业务以人民币结算。但本公司已确认的外币资产和负</w:t>
      </w:r>
    </w:p>
    <w:p>
      <w:pPr>
        <w:framePr w:w="911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债及未来的外币交易（外币资产和负债及外币交易的计价货币主要为美元）依然存在汇率风险。</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本公司外贸部门负责监控公司外币交易和外币资产及负债的规模，以最大程度降低面临的汇率风</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险；为此，本公司可能会以签署远期外汇合约或外币期权方式来达到规避汇率风险的目的。截止</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pacing w:val="-1"/>
          <w:sz w:val="21"/>
          <w:szCs w:val="22"/>
          <w:lang w:val="en-US" w:eastAsia="en-US" w:bidi="ar-SA"/>
        </w:rPr>
        <w:t>日，公司签署的尚未交割的远期外汇合约金额合计为</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2,692.40</w:t>
      </w:r>
      <w:r>
        <w:rPr>
          <w:rFonts w:ascii="SimSun" w:hAnsi="SimSun" w:eastAsiaTheme="minorEastAsia" w:cs="SimSun"/>
          <w:color w:val="000000"/>
          <w:spacing w:val="-2"/>
          <w:sz w:val="21"/>
          <w:szCs w:val="22"/>
          <w:lang w:val="en-US" w:eastAsia="en-US" w:bidi="ar-SA"/>
        </w:rPr>
        <w:t>万美元，根据远期</w:t>
      </w:r>
    </w:p>
    <w:p>
      <w:pPr>
        <w:framePr w:w="9110" w:x="1798" w:y="153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7"/>
          <w:sz w:val="21"/>
          <w:szCs w:val="22"/>
          <w:lang w:val="en-US" w:eastAsia="en-US" w:bidi="ar-SA"/>
        </w:rPr>
        <w:t>汇率及剩余交割时限确定的期末金融机构远期汇率报价的差额计算的公允价值变动金额为</w:t>
      </w:r>
    </w:p>
    <w:p>
      <w:pPr>
        <w:framePr w:w="9110" w:x="1798" w:y="153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-1,976,047.50</w:t>
      </w:r>
      <w:r>
        <w:rPr>
          <w:rFonts w:ascii="SimSun" w:hAnsi="SimSun" w:eastAsiaTheme="minorEastAsia" w:cs="SimSun"/>
          <w:color w:val="000000"/>
          <w:sz w:val="21"/>
          <w:szCs w:val="22"/>
          <w:lang w:val="en-US" w:eastAsia="en-US" w:bidi="ar-SA"/>
        </w:rPr>
        <w:t>元人民币。</w:t>
      </w:r>
    </w:p>
    <w:p>
      <w:pPr>
        <w:framePr w:w="8658" w:x="2218" w:y="45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截止</w:t>
      </w:r>
      <w:r>
        <w:rPr>
          <w:rFonts w:eastAsiaTheme="minorEastAsia" w:hAnsiTheme="minorHAnsi" w:cstheme="minorBidi"/>
          <w:color w:val="000000"/>
          <w:spacing w:val="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6"/>
          <w:sz w:val="21"/>
          <w:szCs w:val="22"/>
          <w:lang w:val="en-US" w:eastAsia="en-US" w:bidi="ar-SA"/>
        </w:rPr>
        <w:t>6</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30</w:t>
      </w:r>
      <w:r>
        <w:rPr>
          <w:rFonts w:ascii="SimSun" w:hAnsi="SimSun" w:eastAsiaTheme="minorEastAsia" w:cs="SimSun"/>
          <w:color w:val="000000"/>
          <w:sz w:val="21"/>
          <w:szCs w:val="22"/>
          <w:lang w:val="en-US" w:eastAsia="en-US" w:bidi="ar-SA"/>
        </w:rPr>
        <w:t>日，本公司持有的外币金融资产和外币金融负债折算成人民币的金额列</w:t>
      </w:r>
    </w:p>
    <w:p>
      <w:pPr>
        <w:framePr w:w="1085" w:x="1798" w:y="49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示如下：</w:t>
      </w:r>
    </w:p>
    <w:p>
      <w:pPr>
        <w:framePr w:w="960" w:x="6707" w:y="553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期末余额</w:t>
      </w:r>
    </w:p>
    <w:p>
      <w:pPr>
        <w:framePr w:w="600" w:x="2621" w:y="5708"/>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项目</w:t>
      </w:r>
    </w:p>
    <w:p>
      <w:pPr>
        <w:framePr w:w="960" w:x="4667" w:y="588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美元项目</w:t>
      </w:r>
    </w:p>
    <w:p>
      <w:pPr>
        <w:framePr w:w="1500" w:x="6954" w:y="588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澳大利亚元项目</w:t>
      </w:r>
    </w:p>
    <w:p>
      <w:pPr>
        <w:framePr w:w="600" w:x="9446" w:y="588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合计</w:t>
      </w:r>
    </w:p>
    <w:p>
      <w:pPr>
        <w:framePr w:w="1500" w:x="2057" w:y="6234"/>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外币金融资产：</w:t>
      </w:r>
    </w:p>
    <w:p>
      <w:pPr>
        <w:framePr w:w="1500" w:x="2057" w:y="6234"/>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货币资金</w:t>
      </w:r>
    </w:p>
    <w:p>
      <w:pPr>
        <w:framePr w:w="1500" w:x="2057" w:y="6234"/>
        <w:widowControl w:val="0"/>
        <w:autoSpaceDE w:val="0"/>
        <w:autoSpaceDN w:val="0"/>
        <w:spacing w:before="168"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应收账款</w:t>
      </w:r>
    </w:p>
    <w:p>
      <w:pPr>
        <w:framePr w:w="1500" w:x="2057" w:y="6234"/>
        <w:widowControl w:val="0"/>
        <w:autoSpaceDE w:val="0"/>
        <w:autoSpaceDN w:val="0"/>
        <w:spacing w:before="170" w:line="180" w:lineRule="exact"/>
        <w:ind w:left="56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1411" w:x="5120" w:y="658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86,495,767.94</w:t>
      </w:r>
    </w:p>
    <w:p>
      <w:pPr>
        <w:framePr w:w="692" w:x="8212" w:y="658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79.02</w:t>
      </w:r>
    </w:p>
    <w:p>
      <w:pPr>
        <w:framePr w:w="692" w:x="8212" w:y="6584"/>
        <w:widowControl w:val="0"/>
        <w:autoSpaceDE w:val="0"/>
        <w:autoSpaceDN w:val="0"/>
        <w:spacing w:before="51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79.02</w:t>
      </w:r>
    </w:p>
    <w:p>
      <w:pPr>
        <w:framePr w:w="1502" w:x="9110" w:y="6584"/>
        <w:widowControl w:val="0"/>
        <w:autoSpaceDE w:val="0"/>
        <w:autoSpaceDN w:val="0"/>
        <w:spacing w:line="180" w:lineRule="exact"/>
        <w:ind w:left="9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86,495,846.96</w:t>
      </w:r>
    </w:p>
    <w:p>
      <w:pPr>
        <w:framePr w:w="1502" w:x="9110" w:y="6584"/>
        <w:widowControl w:val="0"/>
        <w:autoSpaceDE w:val="0"/>
        <w:autoSpaceDN w:val="0"/>
        <w:spacing w:before="168"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271,114,453.46</w:t>
      </w:r>
    </w:p>
    <w:p>
      <w:pPr>
        <w:framePr w:w="1502" w:x="9110" w:y="6584"/>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357,610,300.42</w:t>
      </w:r>
    </w:p>
    <w:p>
      <w:pPr>
        <w:framePr w:w="1500" w:x="5029" w:y="6932"/>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271,114,453.46</w:t>
      </w:r>
    </w:p>
    <w:p>
      <w:pPr>
        <w:framePr w:w="1500" w:x="5029" w:y="6932"/>
        <w:widowControl w:val="0"/>
        <w:autoSpaceDE w:val="0"/>
        <w:autoSpaceDN w:val="0"/>
        <w:spacing w:before="170"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357,610,221.40</w:t>
      </w:r>
    </w:p>
    <w:p>
      <w:pPr>
        <w:framePr w:w="1500" w:x="2057" w:y="7633"/>
        <w:widowControl w:val="0"/>
        <w:autoSpaceDE w:val="0"/>
        <w:autoSpaceDN w:val="0"/>
        <w:spacing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外币金融负债：</w:t>
      </w:r>
    </w:p>
    <w:p>
      <w:pPr>
        <w:framePr w:w="1500" w:x="2057" w:y="7633"/>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应付账款</w:t>
      </w:r>
    </w:p>
    <w:p>
      <w:pPr>
        <w:framePr w:w="1500" w:x="2057" w:y="7633"/>
        <w:widowControl w:val="0"/>
        <w:autoSpaceDE w:val="0"/>
        <w:autoSpaceDN w:val="0"/>
        <w:spacing w:before="170" w:line="180" w:lineRule="exac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其他应付款</w:t>
      </w:r>
    </w:p>
    <w:p>
      <w:pPr>
        <w:framePr w:w="1500" w:x="2057" w:y="7633"/>
        <w:widowControl w:val="0"/>
        <w:autoSpaceDE w:val="0"/>
        <w:autoSpaceDN w:val="0"/>
        <w:spacing w:before="171" w:line="180" w:lineRule="exact"/>
        <w:ind w:left="564"/>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小计</w:t>
      </w:r>
    </w:p>
    <w:p>
      <w:pPr>
        <w:framePr w:w="1323" w:x="5209" w:y="798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1,227,165.84</w:t>
      </w:r>
    </w:p>
    <w:p>
      <w:pPr>
        <w:framePr w:w="1323" w:x="5209" w:y="7983"/>
        <w:widowControl w:val="0"/>
        <w:autoSpaceDE w:val="0"/>
        <w:autoSpaceDN w:val="0"/>
        <w:spacing w:before="170" w:line="180" w:lineRule="exact"/>
        <w:ind w:left="27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85,796.46</w:t>
      </w:r>
    </w:p>
    <w:p>
      <w:pPr>
        <w:framePr w:w="1323" w:x="9290" w:y="7983"/>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1,227,165.84</w:t>
      </w:r>
    </w:p>
    <w:p>
      <w:pPr>
        <w:framePr w:w="1323" w:x="9290" w:y="7983"/>
        <w:widowControl w:val="0"/>
        <w:autoSpaceDE w:val="0"/>
        <w:autoSpaceDN w:val="0"/>
        <w:spacing w:before="170" w:line="180" w:lineRule="exact"/>
        <w:ind w:left="271"/>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85,796.46</w:t>
      </w:r>
    </w:p>
    <w:p>
      <w:pPr>
        <w:framePr w:w="1320" w:x="5209" w:y="868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1,312,962.30</w:t>
      </w:r>
    </w:p>
    <w:p>
      <w:pPr>
        <w:framePr w:w="1320" w:x="9292" w:y="8684"/>
        <w:widowControl w:val="0"/>
        <w:autoSpaceDE w:val="0"/>
        <w:autoSpaceDN w:val="0"/>
        <w:spacing w:line="180" w:lineRule="exact"/>
        <w:rPr>
          <w:rFonts w:ascii="SimSun" w:eastAsiaTheme="minorEastAsia" w:hAnsiTheme="minorHAnsi" w:cstheme="minorBidi"/>
          <w:color w:val="000000"/>
          <w:sz w:val="18"/>
          <w:szCs w:val="22"/>
          <w:lang w:val="en-US" w:eastAsia="en-US" w:bidi="ar-SA"/>
        </w:rPr>
      </w:pPr>
      <w:r>
        <w:rPr>
          <w:rFonts w:ascii="SimSun" w:eastAsiaTheme="minorEastAsia" w:hAnsiTheme="minorHAnsi" w:cstheme="minorBidi"/>
          <w:color w:val="000000"/>
          <w:sz w:val="18"/>
          <w:szCs w:val="22"/>
          <w:lang w:val="en-US" w:eastAsia="en-US" w:bidi="ar-SA"/>
        </w:rPr>
        <w:t>1,312,962.30</w:t>
      </w:r>
    </w:p>
    <w:p>
      <w:pPr>
        <w:framePr w:w="2558" w:x="1798" w:y="93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十一、</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公允价值的披露</w:t>
      </w:r>
    </w:p>
    <w:p>
      <w:pPr>
        <w:framePr w:w="4884" w:x="1798" w:y="96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以公允价值计量的资产和负债的期末公允价值</w:t>
      </w:r>
    </w:p>
    <w:p>
      <w:pPr>
        <w:framePr w:w="1817" w:x="1798" w:y="100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102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1507" w:x="6769" w:y="1055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期末公允价值</w:t>
      </w:r>
    </w:p>
    <w:p>
      <w:pPr>
        <w:framePr w:w="662" w:x="2744" w:y="1083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5026" w:x="4237" w:y="108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第一层次公允价</w:t>
      </w:r>
      <w:r>
        <w:rPr>
          <w:rFonts w:eastAsiaTheme="minorEastAsia" w:hAnsiTheme="minorHAnsi" w:cstheme="minorBidi"/>
          <w:color w:val="000000"/>
          <w:spacing w:val="123"/>
          <w:sz w:val="21"/>
          <w:szCs w:val="22"/>
          <w:lang w:val="en-US" w:eastAsia="en-US" w:bidi="ar-SA"/>
        </w:rPr>
        <w:t xml:space="preserve"> </w:t>
      </w:r>
      <w:r>
        <w:rPr>
          <w:rFonts w:ascii="SimSun" w:hAnsi="SimSun" w:eastAsiaTheme="minorEastAsia" w:cs="SimSun"/>
          <w:color w:val="000000"/>
          <w:sz w:val="21"/>
          <w:szCs w:val="22"/>
          <w:lang w:val="en-US" w:eastAsia="en-US" w:bidi="ar-SA"/>
        </w:rPr>
        <w:t>第二层次公允价</w:t>
      </w:r>
      <w:r>
        <w:rPr>
          <w:rFonts w:eastAsiaTheme="minorEastAsia" w:hAnsiTheme="minorHAnsi" w:cstheme="minorBidi"/>
          <w:color w:val="000000"/>
          <w:spacing w:val="138"/>
          <w:sz w:val="21"/>
          <w:szCs w:val="22"/>
          <w:lang w:val="en-US" w:eastAsia="en-US" w:bidi="ar-SA"/>
        </w:rPr>
        <w:t xml:space="preserve"> </w:t>
      </w:r>
      <w:r>
        <w:rPr>
          <w:rFonts w:ascii="SimSun" w:hAnsi="SimSun" w:eastAsiaTheme="minorEastAsia" w:cs="SimSun"/>
          <w:color w:val="000000"/>
          <w:sz w:val="21"/>
          <w:szCs w:val="22"/>
          <w:lang w:val="en-US" w:eastAsia="en-US" w:bidi="ar-SA"/>
        </w:rPr>
        <w:t>第三层次公允价</w:t>
      </w:r>
    </w:p>
    <w:p>
      <w:pPr>
        <w:framePr w:w="5026" w:x="4237" w:y="10839"/>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值计量</w:t>
      </w:r>
      <w:r>
        <w:rPr>
          <w:rFonts w:eastAsiaTheme="minorEastAsia" w:hAnsiTheme="minorHAnsi" w:cstheme="minorBidi"/>
          <w:color w:val="000000"/>
          <w:spacing w:val="9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值计量</w:t>
      </w:r>
      <w:r>
        <w:rPr>
          <w:rFonts w:eastAsiaTheme="minorEastAsia" w:hAnsiTheme="minorHAnsi" w:cstheme="minorBidi"/>
          <w:color w:val="000000"/>
          <w:spacing w:val="97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值计量</w:t>
      </w:r>
    </w:p>
    <w:p>
      <w:pPr>
        <w:framePr w:w="662" w:x="9686" w:y="109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563" w:x="1798" w:y="11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一、持续的公允价值计量</w:t>
      </w:r>
    </w:p>
    <w:p>
      <w:pPr>
        <w:framePr w:w="2563" w:x="1798" w:y="113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（一）交易性金融资产</w:t>
      </w:r>
    </w:p>
    <w:p>
      <w:pPr>
        <w:framePr w:w="2563" w:x="1798" w:y="11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以公允价值计量且变动</w:t>
      </w:r>
    </w:p>
    <w:p>
      <w:pPr>
        <w:framePr w:w="2563" w:x="1798" w:y="11393"/>
        <w:widowControl w:val="0"/>
        <w:autoSpaceDE w:val="0"/>
        <w:autoSpaceDN w:val="0"/>
        <w:spacing w:before="6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计入当期损益的金融资产</w:t>
      </w:r>
    </w:p>
    <w:p>
      <w:pPr>
        <w:framePr w:w="2563" w:x="1798" w:y="113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）债务工具投资</w:t>
      </w:r>
    </w:p>
    <w:p>
      <w:pPr>
        <w:framePr w:w="4412" w:x="6462" w:y="1167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108,300,000.00</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108,375,598.00</w:t>
      </w:r>
    </w:p>
    <w:p>
      <w:pPr>
        <w:framePr w:w="4412" w:x="6462" w:y="1167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108,300,000.00</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108,375,598.00</w:t>
      </w:r>
    </w:p>
    <w:p>
      <w:pPr>
        <w:framePr w:w="2035" w:x="1798" w:y="127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）权益工具投资</w:t>
      </w:r>
    </w:p>
    <w:p>
      <w:pPr>
        <w:framePr w:w="2035" w:x="1798" w:y="1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）衍生金融资产</w:t>
      </w:r>
    </w:p>
    <w:p>
      <w:pPr>
        <w:framePr w:w="1190" w:x="6462" w:y="130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p>
    <w:p>
      <w:pPr>
        <w:framePr w:w="1190" w:x="9686" w:y="1307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p>
    <w:p>
      <w:pPr>
        <w:framePr w:w="2563" w:x="1798" w:y="13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）其他</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银行理财产品</w:t>
      </w:r>
    </w:p>
    <w:p>
      <w:pPr>
        <w:framePr w:w="2563" w:x="1798" w:y="13360"/>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指定以公允价值计量</w:t>
      </w:r>
    </w:p>
    <w:p>
      <w:pPr>
        <w:framePr w:w="2563" w:x="1798" w:y="1336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且其变动计入当期损益的</w:t>
      </w:r>
    </w:p>
    <w:p>
      <w:pPr>
        <w:framePr w:w="2563" w:x="1798" w:y="1336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金融资产</w:t>
      </w:r>
    </w:p>
    <w:p>
      <w:pPr>
        <w:framePr w:w="3241" w:x="7633" w:y="1336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108,300,000.00</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108,300,000.00</w:t>
      </w:r>
    </w:p>
    <w:p>
      <w:pPr>
        <w:framePr w:w="2035" w:x="1798" w:y="144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）债务工具投资</w:t>
      </w:r>
    </w:p>
    <w:p>
      <w:pPr>
        <w:framePr w:w="2035" w:x="1798" w:y="147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）权益工具投资</w:t>
      </w:r>
    </w:p>
    <w:p>
      <w:pPr>
        <w:framePr w:w="2141" w:x="1798" w:y="15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（二）其他债权投资</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1" type="#_x0000_t75" style="width:445.6pt;height:2.7pt;margin-top:53.65pt;margin-left:87.45pt;mso-position-horizontal-relative:page;mso-position-vertical-relative:page;position:absolute;z-index:-251350016">
            <v:imagedata r:id="rId267" o:title=""/>
          </v:shape>
        </w:pict>
      </w:r>
      <w:r>
        <w:rPr>
          <w:noProof/>
        </w:rPr>
        <w:pict>
          <v:shape id="_x0000_s1332" type="#_x0000_t75" style="width:429.3pt;height:179.6pt;margin-top:270.15pt;margin-left:95.75pt;mso-position-horizontal-relative:page;mso-position-vertical-relative:page;position:absolute;z-index:-251415552">
            <v:imagedata r:id="rId268" o:title=""/>
          </v:shape>
        </w:pict>
      </w:r>
      <w:r>
        <w:rPr>
          <w:noProof/>
        </w:rPr>
        <w:pict>
          <v:shape id="_x0000_s1333" type="#_x0000_t75" style="width:447.05pt;height:240.45pt;margin-top:524.85pt;margin-left:87.2pt;mso-position-horizontal-relative:page;mso-position-vertical-relative:page;position:absolute;z-index:-251523072">
            <v:imagedata r:id="rId269" o:title=""/>
          </v:shape>
        </w:pict>
      </w:r>
    </w:p>
    <w:p>
      <w:pPr>
        <w:spacing w:line="0" w:lineRule="atLeast"/>
        <w:rPr>
          <w:rFonts w:ascii="Arial" w:eastAsiaTheme="minorEastAsia" w:hAnsiTheme="minorHAnsi" w:cstheme="minorBidi"/>
          <w:color w:val="FF0000"/>
          <w:sz w:val="2"/>
          <w:szCs w:val="22"/>
          <w:lang w:val="en-US" w:eastAsia="en-US" w:bidi="ar-SA"/>
        </w:rPr>
      </w:pPr>
      <w:bookmarkStart w:id="133" w:name="br1_132"/>
      <w:bookmarkEnd w:id="13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563"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（三）其他权益工具投资</w:t>
      </w:r>
    </w:p>
    <w:p>
      <w:pPr>
        <w:framePr w:w="2563"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（四）投资性房地产</w:t>
      </w:r>
    </w:p>
    <w:p>
      <w:pPr>
        <w:framePr w:w="2563"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出租用的土地使用权</w:t>
      </w:r>
    </w:p>
    <w:p>
      <w:pPr>
        <w:framePr w:w="2563"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出租的建筑物</w:t>
      </w:r>
    </w:p>
    <w:p>
      <w:pPr>
        <w:framePr w:w="2563" w:x="1798" w:y="26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持有并准备增值后转让</w:t>
      </w:r>
    </w:p>
    <w:p>
      <w:pPr>
        <w:framePr w:w="2563" w:x="1798" w:y="2676"/>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的土地使用权</w:t>
      </w:r>
    </w:p>
    <w:p>
      <w:pPr>
        <w:framePr w:w="1718" w:x="1798" w:y="32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（五）生物资产</w:t>
      </w:r>
    </w:p>
    <w:p>
      <w:pPr>
        <w:framePr w:w="2352" w:x="1798" w:y="3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消耗性生物资产</w:t>
      </w:r>
    </w:p>
    <w:p>
      <w:pPr>
        <w:framePr w:w="2352" w:x="1798" w:y="351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生产性生物资产</w:t>
      </w:r>
    </w:p>
    <w:p>
      <w:pPr>
        <w:framePr w:w="2352" w:x="1798" w:y="351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持续以公允价值计量的</w:t>
      </w:r>
    </w:p>
    <w:p>
      <w:pPr>
        <w:framePr w:w="2352" w:x="1798" w:y="351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资产总额</w:t>
      </w:r>
    </w:p>
    <w:p>
      <w:pPr>
        <w:framePr w:w="4412" w:x="6462" w:y="42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75,598.00</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108,300,000.00</w:t>
      </w:r>
      <w:r>
        <w:rPr>
          <w:rFonts w:ascii="SimSun" w:eastAsiaTheme="minorEastAsia" w:hAnsiTheme="minorHAnsi" w:cstheme="minorBidi"/>
          <w:color w:val="000000"/>
          <w:spacing w:val="-5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108,375,598.00</w:t>
      </w:r>
    </w:p>
    <w:p>
      <w:pPr>
        <w:framePr w:w="2352" w:x="1798" w:y="46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（六）交易性金融负债</w:t>
      </w:r>
    </w:p>
    <w:p>
      <w:pPr>
        <w:framePr w:w="2563" w:x="1798" w:y="49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以公允价值计量且变动</w:t>
      </w:r>
    </w:p>
    <w:p>
      <w:pPr>
        <w:framePr w:w="2563" w:x="1798" w:y="4939"/>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计入当期损益的金融负债</w:t>
      </w:r>
    </w:p>
    <w:p>
      <w:pPr>
        <w:framePr w:w="2563" w:x="1798" w:y="493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其中：发行的交易性债券</w:t>
      </w:r>
    </w:p>
    <w:p>
      <w:pPr>
        <w:framePr w:w="2563" w:x="1798" w:y="4939"/>
        <w:widowControl w:val="0"/>
        <w:autoSpaceDE w:val="0"/>
        <w:autoSpaceDN w:val="0"/>
        <w:spacing w:before="72" w:line="211" w:lineRule="exact"/>
        <w:ind w:left="63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衍生金融负债</w:t>
      </w:r>
    </w:p>
    <w:p>
      <w:pPr>
        <w:framePr w:w="1507" w:x="6147" w:y="49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1507" w:x="9372" w:y="493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1507" w:x="9372" w:y="4939"/>
        <w:widowControl w:val="0"/>
        <w:autoSpaceDE w:val="0"/>
        <w:autoSpaceDN w:val="0"/>
        <w:spacing w:before="62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1507" w:x="6147" w:y="57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1507" w:x="6147" w:y="5777"/>
        <w:widowControl w:val="0"/>
        <w:autoSpaceDE w:val="0"/>
        <w:autoSpaceDN w:val="0"/>
        <w:spacing w:before="1205"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662" w:x="2429" w:y="60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p>
    <w:p>
      <w:pPr>
        <w:framePr w:w="2563" w:x="1798" w:y="63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指定为以公允价值计量</w:t>
      </w:r>
    </w:p>
    <w:p>
      <w:pPr>
        <w:framePr w:w="2563" w:x="1798" w:y="6365"/>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且变动计入当期损益的金</w:t>
      </w:r>
    </w:p>
    <w:p>
      <w:pPr>
        <w:framePr w:w="2563" w:x="1798" w:y="636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融负债</w:t>
      </w:r>
    </w:p>
    <w:p>
      <w:pPr>
        <w:framePr w:w="2352" w:x="1798" w:y="71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持续以公允价值计量的</w:t>
      </w:r>
    </w:p>
    <w:p>
      <w:pPr>
        <w:framePr w:w="2352" w:x="1798" w:y="7193"/>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负债总额</w:t>
      </w:r>
    </w:p>
    <w:p>
      <w:pPr>
        <w:framePr w:w="1507" w:x="9372" w:y="719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2,671,429.90</w:t>
      </w:r>
    </w:p>
    <w:p>
      <w:pPr>
        <w:framePr w:w="2563" w:x="1798" w:y="77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二、非持续的公允价值计</w:t>
      </w:r>
    </w:p>
    <w:p>
      <w:pPr>
        <w:framePr w:w="2563" w:x="1798" w:y="7748"/>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p>
      <w:pPr>
        <w:framePr w:w="2352" w:x="1798" w:y="83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（一）持有待售资产</w:t>
      </w:r>
    </w:p>
    <w:p>
      <w:pPr>
        <w:framePr w:w="2352" w:x="1798" w:y="830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非持续以公允价值计量</w:t>
      </w:r>
    </w:p>
    <w:p>
      <w:pPr>
        <w:framePr w:w="2352" w:x="1798" w:y="830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的资产总额</w:t>
      </w:r>
    </w:p>
    <w:p>
      <w:pPr>
        <w:framePr w:w="2352" w:x="1798" w:y="9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非持续以公允价值计量</w:t>
      </w:r>
    </w:p>
    <w:p>
      <w:pPr>
        <w:framePr w:w="2352" w:x="1798" w:y="914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的负债总额</w:t>
      </w:r>
    </w:p>
    <w:p>
      <w:pPr>
        <w:framePr w:w="5935" w:x="1798" w:y="100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持续和非持续第一层次公允价值计量项目市价的确定依据</w:t>
      </w:r>
    </w:p>
    <w:p>
      <w:pPr>
        <w:framePr w:w="1817" w:x="1798" w:y="104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365" w:x="1798" w:y="10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在计量日能够取得的相同资产或负债在活跃市场上未经调整的报价</w:t>
      </w:r>
    </w:p>
    <w:p>
      <w:pPr>
        <w:framePr w:w="8888" w:x="1798" w:y="116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持续和非持续第二层次公允价值计量项目，采用的估值技术和重要参数的定性及定量信息</w:t>
      </w:r>
    </w:p>
    <w:p>
      <w:pPr>
        <w:framePr w:w="1817" w:x="1798" w:y="119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216" w:x="1798" w:y="12385"/>
        <w:widowControl w:val="0"/>
        <w:autoSpaceDE w:val="0"/>
        <w:autoSpaceDN w:val="0"/>
        <w:spacing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除第一层次输入值外相关资产或负债直接或间接可观察的输入值，包括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）活跃市场中类似</w:t>
      </w:r>
    </w:p>
    <w:p>
      <w:pPr>
        <w:framePr w:w="9216" w:x="1798" w:y="12385"/>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资产或负债的报价；</w:t>
      </w: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）非活跃市场中相同或类似资产或负债的报价；</w:t>
      </w: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z w:val="21"/>
          <w:szCs w:val="22"/>
          <w:lang w:val="en-US" w:eastAsia="en-US" w:bidi="ar-SA"/>
        </w:rPr>
        <w:t>）除报价以外的其他可观</w:t>
      </w:r>
    </w:p>
    <w:p>
      <w:pPr>
        <w:framePr w:w="9216" w:x="1798" w:y="123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察输入值，包括在正常报价间隔期间可观察的利率和收益率曲线、隐含波动率和信用利差等；</w:t>
      </w:r>
      <w:r>
        <w:rPr>
          <w:rFonts w:ascii="SimSun" w:eastAsiaTheme="minorEastAsia" w:hAnsiTheme="minorHAnsi" w:cstheme="minorBidi"/>
          <w:color w:val="000000"/>
          <w:spacing w:val="3"/>
          <w:sz w:val="21"/>
          <w:szCs w:val="22"/>
          <w:lang w:val="en-US" w:eastAsia="en-US" w:bidi="ar-SA"/>
        </w:rPr>
        <w:t>4</w:t>
      </w:r>
      <w:r>
        <w:rPr>
          <w:rFonts w:ascii="SimSun" w:hAnsi="SimSun" w:eastAsiaTheme="minorEastAsia" w:cs="SimSun"/>
          <w:color w:val="000000"/>
          <w:sz w:val="21"/>
          <w:szCs w:val="22"/>
          <w:lang w:val="en-US" w:eastAsia="en-US" w:bidi="ar-SA"/>
        </w:rPr>
        <w:t>）</w:t>
      </w:r>
    </w:p>
    <w:p>
      <w:pPr>
        <w:framePr w:w="9216" w:x="1798" w:y="12385"/>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市场验证的输入值等</w:t>
      </w:r>
    </w:p>
    <w:p>
      <w:pPr>
        <w:framePr w:w="8888" w:x="1798" w:y="140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持续和非持续第三层次公允价值计量项目，采用的估值技术和重要参数的定性及定量信息</w:t>
      </w:r>
    </w:p>
    <w:p>
      <w:pPr>
        <w:framePr w:w="1817" w:x="1798" w:y="144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8" w:x="1798" w:y="148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相关资产或负债的不可观察输入值</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4" type="#_x0000_t75" style="width:445.6pt;height:2.7pt;margin-top:53.65pt;margin-left:87.45pt;mso-position-horizontal-relative:page;mso-position-vertical-relative:page;position:absolute;z-index:-251414528">
            <v:imagedata r:id="rId270" o:title=""/>
          </v:shape>
        </w:pict>
      </w:r>
      <w:r>
        <w:rPr>
          <w:noProof/>
        </w:rPr>
        <w:pict>
          <v:shape id="_x0000_s1335" type="#_x0000_t75" style="width:447.05pt;height:409.95pt;margin-top:74.3pt;margin-left:87.2pt;mso-position-horizontal-relative:page;mso-position-vertical-relative:page;position:absolute;z-index:-251522048">
            <v:imagedata r:id="rId271" o:title=""/>
          </v:shape>
        </w:pict>
      </w:r>
    </w:p>
    <w:p>
      <w:pPr>
        <w:spacing w:line="0" w:lineRule="atLeast"/>
        <w:rPr>
          <w:rFonts w:ascii="Arial" w:eastAsiaTheme="minorEastAsia" w:hAnsiTheme="minorHAnsi" w:cstheme="minorBidi"/>
          <w:color w:val="FF0000"/>
          <w:sz w:val="2"/>
          <w:szCs w:val="22"/>
          <w:lang w:val="en-US" w:eastAsia="en-US" w:bidi="ar-SA"/>
        </w:rPr>
      </w:pPr>
      <w:bookmarkStart w:id="134" w:name="br1_133"/>
      <w:bookmarkEnd w:id="13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9075"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z w:val="21"/>
          <w:szCs w:val="22"/>
          <w:lang w:val="en-US" w:eastAsia="en-US" w:bidi="ar-SA"/>
        </w:rPr>
        <w:t>持续的第三层次公允价值计量项目，期初与期末账面价值间的调节信息及不可观察参数敏感</w:t>
      </w:r>
    </w:p>
    <w:p>
      <w:pPr>
        <w:framePr w:w="874" w:x="2223" w:y="1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性分析</w:t>
      </w:r>
    </w:p>
    <w:p>
      <w:pPr>
        <w:framePr w:w="1817"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075" w:x="1798" w:y="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z w:val="21"/>
          <w:szCs w:val="22"/>
          <w:lang w:val="en-US" w:eastAsia="en-US" w:bidi="ar-SA"/>
        </w:rPr>
        <w:t>持续的公允价值计量项目，本期内发生各层级之间转换的，转换的原因及确定转换时点的政</w:t>
      </w:r>
    </w:p>
    <w:p>
      <w:pPr>
        <w:framePr w:w="451" w:x="2223" w:y="3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策</w:t>
      </w:r>
    </w:p>
    <w:p>
      <w:pPr>
        <w:framePr w:w="1817" w:x="1798" w:y="33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0" w:x="1798" w:y="39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本期内发生的估值技术变更及变更原因</w:t>
      </w:r>
    </w:p>
    <w:p>
      <w:pPr>
        <w:framePr w:w="1817" w:x="1798" w:y="42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936" w:x="1798" w:y="48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不以公允价值计量的金融资产和金融负债的公允价值情况</w:t>
      </w:r>
    </w:p>
    <w:p>
      <w:pPr>
        <w:framePr w:w="1817" w:x="1798" w:y="52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583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61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70" w:x="1798" w:y="6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十二、</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关联方及关联交易</w:t>
      </w:r>
    </w:p>
    <w:p>
      <w:pPr>
        <w:framePr w:w="2770" w:x="1798" w:y="6768"/>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本企业的母公司情况</w:t>
      </w:r>
    </w:p>
    <w:p>
      <w:pPr>
        <w:framePr w:w="2770" w:x="1798" w:y="6768"/>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8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本企业的子公司情况</w:t>
      </w:r>
    </w:p>
    <w:p>
      <w:pPr>
        <w:framePr w:w="2986" w:x="1798" w:y="87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本企业子公司的情况详见附注</w:t>
      </w:r>
    </w:p>
    <w:p>
      <w:pPr>
        <w:framePr w:w="2986" w:x="1798" w:y="877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6" w:x="1798" w:y="95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本企业子公司的情况详见附注</w:t>
      </w:r>
    </w:p>
    <w:p>
      <w:pPr>
        <w:framePr w:w="3194" w:x="1798" w:y="1006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本企业合营和联营企业情况</w:t>
      </w:r>
    </w:p>
    <w:p>
      <w:pPr>
        <w:framePr w:w="3830" w:x="1798" w:y="105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本企业重要的合营或联营企业详见附注</w:t>
      </w:r>
    </w:p>
    <w:p>
      <w:pPr>
        <w:framePr w:w="3830" w:x="1798" w:y="105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110" w:x="1798" w:y="11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本期与本公司发生关联方交易，或前期与本公司发生关联方交易形成余额的其他合营或联营企业</w:t>
      </w:r>
    </w:p>
    <w:p>
      <w:pPr>
        <w:framePr w:w="1085" w:x="1798" w:y="118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情况如下</w:t>
      </w:r>
    </w:p>
    <w:p>
      <w:pPr>
        <w:framePr w:w="1817" w:x="1798" w:y="123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3" w:x="1798" w:y="129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其他关联方情况</w:t>
      </w:r>
    </w:p>
    <w:p>
      <w:pPr>
        <w:framePr w:w="1817" w:x="1798" w:y="132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18" w:x="2943" w:y="1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其他关联方名称</w:t>
      </w:r>
    </w:p>
    <w:p>
      <w:pPr>
        <w:framePr w:w="2563" w:x="7048" w:y="1352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其他关联方与本企业关系</w:t>
      </w:r>
    </w:p>
    <w:p>
      <w:pPr>
        <w:framePr w:w="874" w:x="1798" w:y="138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孙利娟</w:t>
      </w:r>
    </w:p>
    <w:p>
      <w:pPr>
        <w:framePr w:w="874" w:x="1798" w:y="138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陈绪潇</w:t>
      </w:r>
    </w:p>
    <w:p>
      <w:pPr>
        <w:framePr w:w="874" w:x="1798" w:y="138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贾玉玲</w:t>
      </w:r>
    </w:p>
    <w:p>
      <w:pPr>
        <w:framePr w:w="874" w:x="1798" w:y="1380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侯万富</w:t>
      </w:r>
    </w:p>
    <w:p>
      <w:pPr>
        <w:framePr w:w="874" w:x="1798" w:y="138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王现国</w:t>
      </w:r>
    </w:p>
    <w:p>
      <w:pPr>
        <w:framePr w:w="1085" w:x="5775" w:y="138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138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138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13804"/>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1085" w:x="5775" w:y="13804"/>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参股股东</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6" type="#_x0000_t75" style="width:445.6pt;height:2.7pt;margin-top:53.65pt;margin-left:87.45pt;mso-position-horizontal-relative:page;mso-position-vertical-relative:page;position:absolute;z-index:-251413504">
            <v:imagedata r:id="rId272" o:title=""/>
          </v:shape>
        </w:pict>
      </w:r>
      <w:r>
        <w:rPr>
          <w:noProof/>
        </w:rPr>
        <w:pict>
          <v:shape id="_x0000_s1337" type="#_x0000_t75" style="width:454.95pt;height:87.3pt;margin-top:673.05pt;margin-left:83.25pt;mso-position-horizontal-relative:page;mso-position-vertical-relative:page;position:absolute;z-index:-251521024">
            <v:imagedata r:id="rId273" o:title=""/>
          </v:shape>
        </w:pict>
      </w:r>
    </w:p>
    <w:p>
      <w:pPr>
        <w:spacing w:line="0" w:lineRule="atLeast"/>
        <w:rPr>
          <w:rFonts w:ascii="Arial" w:eastAsiaTheme="minorEastAsia" w:hAnsiTheme="minorHAnsi" w:cstheme="minorBidi"/>
          <w:color w:val="FF0000"/>
          <w:sz w:val="2"/>
          <w:szCs w:val="22"/>
          <w:lang w:val="en-US" w:eastAsia="en-US" w:bidi="ar-SA"/>
        </w:rPr>
      </w:pPr>
      <w:bookmarkStart w:id="135" w:name="br1_134"/>
      <w:bookmarkEnd w:id="13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5" w:x="1798" w:y="18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其他说明</w:t>
      </w:r>
    </w:p>
    <w:p>
      <w:pPr>
        <w:framePr w:w="1085" w:x="1798" w:y="180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932" w:x="1798" w:y="241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关联交易情况</w:t>
      </w:r>
    </w:p>
    <w:p>
      <w:pPr>
        <w:framePr w:w="4442" w:x="1798" w:y="288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购销商品、提供和接受劳务的关联交易</w:t>
      </w:r>
    </w:p>
    <w:p>
      <w:pPr>
        <w:framePr w:w="4442" w:x="1798" w:y="288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采购商品</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接受劳务情况表</w:t>
      </w:r>
    </w:p>
    <w:p>
      <w:pPr>
        <w:framePr w:w="1817" w:x="1798" w:y="37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669" w:x="1798" w:y="40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出售商品</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提供劳务情况表</w:t>
      </w:r>
    </w:p>
    <w:p>
      <w:pPr>
        <w:framePr w:w="1817" w:x="1798" w:y="44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253" w:x="1798" w:y="48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购销商品、提供和接受劳务的关联交易说明</w:t>
      </w:r>
    </w:p>
    <w:p>
      <w:pPr>
        <w:framePr w:w="4253" w:x="1798" w:y="4848"/>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57" w:x="1798" w:y="5844"/>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关联受托管理</w:t>
      </w:r>
      <w:r>
        <w:rPr>
          <w:rFonts w:ascii="Cambria" w:eastAsiaTheme="minorEastAsia" w:hAnsiTheme="minorHAnsi" w:cstheme="minorBidi"/>
          <w:b/>
          <w:color w:val="000000"/>
          <w:spacing w:val="-3"/>
          <w:sz w:val="21"/>
          <w:szCs w:val="22"/>
          <w:lang w:val="en-US" w:eastAsia="en-US" w:bidi="ar-SA"/>
        </w:rPr>
        <w:t>/</w:t>
      </w:r>
      <w:r>
        <w:rPr>
          <w:rFonts w:ascii="SimSun" w:hAnsi="SimSun" w:eastAsiaTheme="minorEastAsia" w:cs="SimSun"/>
          <w:color w:val="000000"/>
          <w:spacing w:val="2"/>
          <w:sz w:val="21"/>
          <w:szCs w:val="22"/>
          <w:lang w:val="en-US" w:eastAsia="en-US" w:bidi="ar-SA"/>
        </w:rPr>
        <w:t>承包及委托管理</w:t>
      </w:r>
      <w:r>
        <w:rPr>
          <w:rFonts w:ascii="Cambria" w:eastAsiaTheme="minorEastAsia" w:hAnsiTheme="minorHAnsi" w:cstheme="minorBidi"/>
          <w:b/>
          <w:color w:val="000000"/>
          <w:spacing w:val="-3"/>
          <w:sz w:val="21"/>
          <w:szCs w:val="22"/>
          <w:lang w:val="en-US" w:eastAsia="en-US" w:bidi="ar-SA"/>
        </w:rPr>
        <w:t>/</w:t>
      </w:r>
      <w:r>
        <w:rPr>
          <w:rFonts w:ascii="SimSun" w:hAnsi="SimSun" w:eastAsiaTheme="minorEastAsia" w:cs="SimSun"/>
          <w:color w:val="000000"/>
          <w:spacing w:val="1"/>
          <w:sz w:val="21"/>
          <w:szCs w:val="22"/>
          <w:lang w:val="en-US" w:eastAsia="en-US" w:bidi="ar-SA"/>
        </w:rPr>
        <w:t>出包情况</w:t>
      </w:r>
    </w:p>
    <w:p>
      <w:pPr>
        <w:framePr w:w="3091" w:x="1798" w:y="63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本公司受托管理</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承包情况表：</w:t>
      </w:r>
    </w:p>
    <w:p>
      <w:pPr>
        <w:framePr w:w="3091" w:x="1798" w:y="6332"/>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1798" w:y="71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关联托管</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承包情况说明</w:t>
      </w:r>
    </w:p>
    <w:p>
      <w:pPr>
        <w:framePr w:w="2458" w:x="1798" w:y="7148"/>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91" w:x="1798" w:y="81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本公司委托管理</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出包情况表：</w:t>
      </w:r>
    </w:p>
    <w:p>
      <w:pPr>
        <w:framePr w:w="3091" w:x="1798" w:y="810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458" w:x="1798" w:y="89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关联管理</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出包情况说明</w:t>
      </w:r>
    </w:p>
    <w:p>
      <w:pPr>
        <w:framePr w:w="2458" w:x="1798" w:y="8919"/>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24" w:x="1798" w:y="993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关联租赁情况</w:t>
      </w:r>
    </w:p>
    <w:p>
      <w:pPr>
        <w:framePr w:w="2141" w:x="1798" w:y="104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本公司作为出租方：</w:t>
      </w:r>
    </w:p>
    <w:p>
      <w:pPr>
        <w:framePr w:w="2141" w:x="1798" w:y="104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1" w:x="1798" w:y="1040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本公司作为承租方：</w:t>
      </w:r>
    </w:p>
    <w:p>
      <w:pPr>
        <w:framePr w:w="2141" w:x="1798" w:y="104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1" w:x="1798" w:y="104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关联租赁情况说明</w:t>
      </w:r>
    </w:p>
    <w:p>
      <w:pPr>
        <w:framePr w:w="2141" w:x="1798" w:y="10400"/>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24" w:x="1798" w:y="13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关联担保情况</w:t>
      </w:r>
    </w:p>
    <w:p>
      <w:pPr>
        <w:framePr w:w="2141" w:x="1798" w:y="135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本公司作为担保方</w:t>
      </w:r>
    </w:p>
    <w:p>
      <w:pPr>
        <w:framePr w:w="2141" w:x="1798" w:y="13516"/>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1" w:x="1798" w:y="135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本公司作为被担保方</w:t>
      </w:r>
    </w:p>
    <w:p>
      <w:pPr>
        <w:framePr w:w="2141" w:x="1798" w:y="13516"/>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8" type="#_x0000_t75" style="width:445.6pt;height:2.7pt;margin-top:53.65pt;margin-left:87.45pt;mso-position-horizontal-relative:page;mso-position-vertical-relative:page;position:absolute;z-index:-251520000">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36" w:name="br1_135"/>
      <w:bookmarkEnd w:id="13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93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关联担保情况说明</w:t>
      </w:r>
    </w:p>
    <w:p>
      <w:pPr>
        <w:framePr w:w="1930" w:x="1798" w:y="1535"/>
        <w:widowControl w:val="0"/>
        <w:autoSpaceDE w:val="0"/>
        <w:autoSpaceDN w:val="0"/>
        <w:spacing w:before="20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35" w:x="1798" w:y="251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关联方资金拆借</w:t>
      </w:r>
    </w:p>
    <w:p>
      <w:pPr>
        <w:framePr w:w="1817" w:x="1798" w:y="29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09" w:x="1798" w:y="34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关联方资产转让、债务重组情况</w:t>
      </w:r>
    </w:p>
    <w:p>
      <w:pPr>
        <w:framePr w:w="1817" w:x="1798" w:y="39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46" w:x="1798" w:y="4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关键管理人员报酬</w:t>
      </w:r>
    </w:p>
    <w:p>
      <w:pPr>
        <w:framePr w:w="2124" w:x="1798" w:y="471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24" w:x="1798" w:y="4718"/>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其他关联交易</w:t>
      </w:r>
    </w:p>
    <w:p>
      <w:pPr>
        <w:framePr w:w="2124" w:x="1798" w:y="4718"/>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6" w:x="1798" w:y="62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关联方应收应付款项</w:t>
      </w:r>
    </w:p>
    <w:p>
      <w:pPr>
        <w:framePr w:w="2566" w:x="1798" w:y="6262"/>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应收项目</w:t>
      </w:r>
    </w:p>
    <w:p>
      <w:pPr>
        <w:framePr w:w="1817" w:x="1798" w:y="71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02" w:x="1798" w:y="75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应付项目</w:t>
      </w:r>
    </w:p>
    <w:p>
      <w:pPr>
        <w:framePr w:w="1817" w:x="1798" w:y="79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83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关联方承诺</w:t>
      </w:r>
    </w:p>
    <w:p>
      <w:pPr>
        <w:framePr w:w="1817" w:x="1798" w:y="87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93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925" w:x="1798" w:y="96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5" w:x="1798" w:y="969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十三、</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w:t>
      </w:r>
    </w:p>
    <w:p>
      <w:pPr>
        <w:framePr w:w="2354" w:x="1798" w:y="105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股份支付总体情况</w:t>
      </w:r>
    </w:p>
    <w:p>
      <w:pPr>
        <w:framePr w:w="1817" w:x="1798" w:y="109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4" w:x="1798" w:y="11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以权益结算的股份支付情况</w:t>
      </w:r>
    </w:p>
    <w:p>
      <w:pPr>
        <w:framePr w:w="1817" w:x="1798" w:y="120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4" w:x="1798" w:y="126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以现金结算的股份支付情况</w:t>
      </w:r>
    </w:p>
    <w:p>
      <w:pPr>
        <w:framePr w:w="1817" w:x="1798" w:y="131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94" w:x="1798" w:y="137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股份支付的修改、终止情况</w:t>
      </w:r>
    </w:p>
    <w:p>
      <w:pPr>
        <w:framePr w:w="1817" w:x="1798" w:y="141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39" type="#_x0000_t75" style="width:445.6pt;height:2.7pt;margin-top:53.65pt;margin-left:87.45pt;mso-position-horizontal-relative:page;mso-position-vertical-relative:page;position:absolute;z-index:-251518976">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37" w:name="br1_136"/>
      <w:bookmarkEnd w:id="137"/>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8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2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8" w:x="1798" w:y="26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十四、</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承诺及或有事项</w:t>
      </w:r>
    </w:p>
    <w:p>
      <w:pPr>
        <w:framePr w:w="1932"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重要承诺事项</w:t>
      </w:r>
    </w:p>
    <w:p>
      <w:pPr>
        <w:framePr w:w="1817" w:x="1798" w:y="3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38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或有事项</w:t>
      </w:r>
    </w:p>
    <w:p>
      <w:pPr>
        <w:framePr w:w="4020" w:x="1798" w:y="43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资产负债表日存在的重要或有事项</w:t>
      </w:r>
    </w:p>
    <w:p>
      <w:pPr>
        <w:framePr w:w="1817" w:x="1798" w:y="48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705" w:x="1798" w:y="54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公司没有需要披露的重要或有事项，也应予以说明：</w:t>
      </w:r>
    </w:p>
    <w:p>
      <w:pPr>
        <w:framePr w:w="1817" w:x="1798" w:y="58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64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69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1" w:x="1798" w:y="7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十五、</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资产负债表日后事项</w:t>
      </w:r>
    </w:p>
    <w:p>
      <w:pPr>
        <w:framePr w:w="2981" w:x="1798" w:y="7553"/>
        <w:widowControl w:val="0"/>
        <w:autoSpaceDE w:val="0"/>
        <w:autoSpaceDN w:val="0"/>
        <w:spacing w:before="100"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重要的非调整事项</w:t>
      </w:r>
    </w:p>
    <w:p>
      <w:pPr>
        <w:framePr w:w="2981" w:x="1798" w:y="7553"/>
        <w:widowControl w:val="0"/>
        <w:autoSpaceDE w:val="0"/>
        <w:autoSpaceDN w:val="0"/>
        <w:spacing w:before="9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8530"/>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利润分配情况</w:t>
      </w:r>
    </w:p>
    <w:p>
      <w:pPr>
        <w:framePr w:w="1817" w:x="1798" w:y="88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9332"/>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销售退回</w:t>
      </w:r>
    </w:p>
    <w:p>
      <w:pPr>
        <w:framePr w:w="1817" w:x="1798" w:y="9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06" w:x="1798" w:y="10404"/>
        <w:widowControl w:val="0"/>
        <w:autoSpaceDE w:val="0"/>
        <w:autoSpaceDN w:val="0"/>
        <w:spacing w:line="258" w:lineRule="exact"/>
        <w:rPr>
          <w:rFonts w:eastAsiaTheme="minorEastAsia" w:hAnsiTheme="minorHAnsi" w:cstheme="minorBidi"/>
          <w:color w:val="000000"/>
          <w:sz w:val="21"/>
          <w:szCs w:val="22"/>
          <w:lang w:val="en-US" w:eastAsia="en-US" w:bidi="ar-SA"/>
        </w:rPr>
      </w:pPr>
      <w:r>
        <w:rPr>
          <w:rFonts w:ascii="Calibri" w:eastAsiaTheme="minorEastAsia" w:hAnsiTheme="minorHAnsi" w:cstheme="minorBidi"/>
          <w:b/>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其他资产负债表日后事项说明</w:t>
      </w:r>
    </w:p>
    <w:p>
      <w:pPr>
        <w:framePr w:w="1817" w:x="1798" w:y="10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4" w:x="1798" w:y="113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十六、</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其他重要事项</w:t>
      </w:r>
    </w:p>
    <w:p>
      <w:pPr>
        <w:framePr w:w="2354" w:x="1798" w:y="11360"/>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前期会计差错更正</w:t>
      </w:r>
    </w:p>
    <w:p>
      <w:pPr>
        <w:framePr w:w="2354" w:x="1798" w:y="11360"/>
        <w:widowControl w:val="0"/>
        <w:autoSpaceDE w:val="0"/>
        <w:autoSpaceDN w:val="0"/>
        <w:spacing w:before="26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追溯重述法</w:t>
      </w:r>
    </w:p>
    <w:p>
      <w:pPr>
        <w:framePr w:w="1817" w:x="1798" w:y="127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98" w:x="1798" w:y="130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未来适用法</w:t>
      </w:r>
    </w:p>
    <w:p>
      <w:pPr>
        <w:framePr w:w="1817" w:x="1798" w:y="135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817" w:x="1798" w:y="13568"/>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债务重组</w:t>
      </w:r>
    </w:p>
    <w:p>
      <w:pPr>
        <w:framePr w:w="1817" w:x="1798" w:y="145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138</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0" type="#_x0000_t75" style="width:445.6pt;height:2.7pt;margin-top:53.65pt;margin-left:87.45pt;mso-position-horizontal-relative:page;mso-position-vertical-relative:page;position:absolute;z-index:-251517952">
            <v:imagedata r:id="rId6" o:title=""/>
          </v:shape>
        </w:pict>
      </w:r>
    </w:p>
    <w:p>
      <w:pPr>
        <w:spacing w:line="0" w:lineRule="atLeast"/>
        <w:rPr>
          <w:rFonts w:ascii="Arial" w:eastAsiaTheme="minorEastAsia" w:hAnsiTheme="minorHAnsi" w:cstheme="minorBidi"/>
          <w:color w:val="FF0000"/>
          <w:sz w:val="2"/>
          <w:szCs w:val="22"/>
          <w:lang w:val="en-US" w:eastAsia="en-US" w:bidi="ar-SA"/>
        </w:rPr>
      </w:pPr>
      <w:bookmarkStart w:id="138" w:name="br1_137"/>
      <w:bookmarkEnd w:id="138"/>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510"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资产置换</w:t>
      </w:r>
    </w:p>
    <w:p>
      <w:pPr>
        <w:framePr w:w="2573" w:x="1798" w:y="20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非货币性资产交换</w:t>
      </w:r>
    </w:p>
    <w:p>
      <w:pPr>
        <w:framePr w:w="2573" w:x="1798" w:y="2006"/>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50" w:x="1798" w:y="30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其他资产置换</w:t>
      </w:r>
    </w:p>
    <w:p>
      <w:pPr>
        <w:framePr w:w="1817" w:x="1798" w:y="34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40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年金计划</w:t>
      </w:r>
    </w:p>
    <w:p>
      <w:pPr>
        <w:framePr w:w="1817" w:x="1798" w:y="4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50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终止经营</w:t>
      </w:r>
    </w:p>
    <w:p>
      <w:pPr>
        <w:framePr w:w="1817" w:x="1798" w:y="55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510" w:x="1798" w:y="61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分部信息</w:t>
      </w:r>
    </w:p>
    <w:p>
      <w:pPr>
        <w:framePr w:w="3835" w:x="1798" w:y="66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报告分部的确定依据与会计政策</w:t>
      </w:r>
    </w:p>
    <w:p>
      <w:pPr>
        <w:framePr w:w="3835" w:x="1798" w:y="6631"/>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784" w:x="1798" w:y="77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报告分部的财务信息</w:t>
      </w:r>
    </w:p>
    <w:p>
      <w:pPr>
        <w:framePr w:w="1817" w:x="1798" w:y="80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8684" w:x="1798" w:y="85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公司无报告分部的，或者不能披露各报告分部的资产总额和负债总额的，应说明原因</w:t>
      </w:r>
    </w:p>
    <w:p>
      <w:pPr>
        <w:framePr w:w="1817" w:x="1798" w:y="89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8" w:x="1798" w:y="95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其他说明</w:t>
      </w:r>
    </w:p>
    <w:p>
      <w:pPr>
        <w:framePr w:w="1817" w:x="1798" w:y="99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673" w:x="1798" w:y="105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其他对投资者决策有影响的重要交易和事项</w:t>
      </w:r>
    </w:p>
    <w:p>
      <w:pPr>
        <w:framePr w:w="1817" w:x="1798" w:y="108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7" w:x="1798" w:y="114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117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821" w:x="1798" w:y="123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十七、</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母公司财务报表主要项目注释</w:t>
      </w:r>
    </w:p>
    <w:p>
      <w:pPr>
        <w:framePr w:w="3821" w:x="1798" w:y="12390"/>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应收账款</w:t>
      </w:r>
    </w:p>
    <w:p>
      <w:pPr>
        <w:framePr w:w="1939" w:x="1798" w:y="130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按账龄披露</w:t>
      </w:r>
    </w:p>
    <w:p>
      <w:pPr>
        <w:framePr w:w="1817" w:x="1798" w:y="1338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6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3869" w:y="139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1507" w:x="7974" w:y="139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1030" w:x="1798" w:y="142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145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453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453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718" w:x="9160" w:y="148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270,204,009.57</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139</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1" type="#_x0000_t75" style="width:445.6pt;height:2.7pt;margin-top:53.65pt;margin-left:87.45pt;mso-position-horizontal-relative:page;mso-position-vertical-relative:page;position:absolute;z-index:-251412480">
            <v:imagedata r:id="rId274" o:title=""/>
          </v:shape>
        </w:pict>
      </w:r>
      <w:r>
        <w:rPr>
          <w:noProof/>
        </w:rPr>
        <w:pict>
          <v:shape id="_x0000_s1342" type="#_x0000_t75" style="width:454.95pt;height:74.5pt;margin-top:694.05pt;margin-left:83.25pt;mso-position-horizontal-relative:page;mso-position-vertical-relative:page;position:absolute;z-index:-251516928">
            <v:imagedata r:id="rId275" o:title=""/>
          </v:shape>
        </w:pict>
      </w:r>
    </w:p>
    <w:p>
      <w:pPr>
        <w:spacing w:line="0" w:lineRule="atLeast"/>
        <w:rPr>
          <w:rFonts w:ascii="Arial" w:eastAsiaTheme="minorEastAsia" w:hAnsiTheme="minorHAnsi" w:cstheme="minorBidi"/>
          <w:color w:val="FF0000"/>
          <w:sz w:val="2"/>
          <w:szCs w:val="22"/>
          <w:lang w:val="en-US" w:eastAsia="en-US" w:bidi="ar-SA"/>
        </w:rPr>
      </w:pPr>
      <w:bookmarkStart w:id="139" w:name="br1_138"/>
      <w:bookmarkEnd w:id="139"/>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030"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年以上</w:t>
      </w:r>
    </w:p>
    <w:p>
      <w:pPr>
        <w:framePr w:w="1030"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030" w:x="1798" w:y="154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5</w:t>
      </w:r>
      <w:r>
        <w:rPr>
          <w:rFonts w:ascii="SimSun" w:hAnsi="SimSun" w:eastAsiaTheme="minorEastAsia" w:cs="SimSun"/>
          <w:color w:val="000000"/>
          <w:sz w:val="21"/>
          <w:szCs w:val="22"/>
          <w:lang w:val="en-US" w:eastAsia="en-US" w:bidi="ar-SA"/>
        </w:rPr>
        <w:t>年</w:t>
      </w:r>
    </w:p>
    <w:p>
      <w:pPr>
        <w:framePr w:w="1030" w:x="1798" w:y="1547"/>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5</w:t>
      </w:r>
      <w:r>
        <w:rPr>
          <w:rFonts w:ascii="SimSun" w:hAnsi="SimSun" w:eastAsiaTheme="minorEastAsia" w:cs="SimSun"/>
          <w:color w:val="000000"/>
          <w:sz w:val="21"/>
          <w:szCs w:val="22"/>
          <w:lang w:val="en-US" w:eastAsia="en-US" w:bidi="ar-SA"/>
        </w:rPr>
        <w:t>年以上</w:t>
      </w:r>
    </w:p>
    <w:p>
      <w:pPr>
        <w:framePr w:w="662" w:x="3869" w:y="295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295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270,204,009.57</w:t>
      </w:r>
    </w:p>
    <w:p>
      <w:pPr>
        <w:framePr w:w="3204" w:x="1798" w:y="3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按坏账计提方法分类披露</w:t>
      </w:r>
    </w:p>
    <w:p>
      <w:pPr>
        <w:framePr w:w="1817" w:x="1798" w:y="3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217" w:y="4178"/>
        <w:widowControl w:val="0"/>
        <w:autoSpaceDE w:val="0"/>
        <w:autoSpaceDN w:val="0"/>
        <w:spacing w:before="72" w:line="211" w:lineRule="exact"/>
        <w:ind w:left="25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3432" w:y="4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157" w:x="1868" w:y="4742"/>
        <w:widowControl w:val="0"/>
        <w:autoSpaceDE w:val="0"/>
        <w:autoSpaceDN w:val="0"/>
        <w:spacing w:line="211" w:lineRule="exact"/>
        <w:ind w:left="7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157" w:x="1868" w:y="4742"/>
        <w:widowControl w:val="0"/>
        <w:autoSpaceDE w:val="0"/>
        <w:autoSpaceDN w:val="0"/>
        <w:spacing w:before="34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1441" w:x="3790" w:y="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441" w:x="3790" w:y="4742"/>
        <w:widowControl w:val="0"/>
        <w:autoSpaceDE w:val="0"/>
        <w:autoSpaceDN w:val="0"/>
        <w:spacing w:before="72" w:line="211" w:lineRule="exact"/>
        <w:ind w:left="77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085" w:x="6916" w:y="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8759" w:y="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734" w:y="5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662" w:x="5492" w:y="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9537" w:y="5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662" w:x="9537" w:y="5025"/>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9537" w:y="5025"/>
        <w:widowControl w:val="0"/>
        <w:autoSpaceDE w:val="0"/>
        <w:autoSpaceDN w:val="0"/>
        <w:spacing w:before="62" w:line="211" w:lineRule="exact"/>
        <w:ind w:left="53"/>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662" w:x="10524" w:y="50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账面</w:t>
      </w:r>
    </w:p>
    <w:p>
      <w:pPr>
        <w:framePr w:w="662" w:x="10524" w:y="5020"/>
        <w:widowControl w:val="0"/>
        <w:autoSpaceDE w:val="0"/>
        <w:autoSpaceDN w:val="0"/>
        <w:spacing w:before="61"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662" w:x="2864" w:y="51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7835" w:y="51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3716" w:y="5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4568" w:y="5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p>
      <w:pPr>
        <w:framePr w:w="662" w:x="5492" w:y="52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价值</w:t>
      </w:r>
    </w:p>
    <w:p>
      <w:pPr>
        <w:framePr w:w="662" w:x="6841" w:y="5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8687" w:y="529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557" w:x="2916" w:y="54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7888" w:y="543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557" w:x="4621" w:y="55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p>
    <w:p>
      <w:pPr>
        <w:framePr w:w="874" w:x="552" w:y="58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按单项</w:t>
      </w:r>
    </w:p>
    <w:p>
      <w:pPr>
        <w:framePr w:w="874" w:x="552" w:y="5852"/>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计提坏</w:t>
      </w:r>
    </w:p>
    <w:p>
      <w:pPr>
        <w:framePr w:w="874" w:x="552" w:y="5852"/>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账准备</w:t>
      </w:r>
    </w:p>
    <w:p>
      <w:pPr>
        <w:framePr w:w="874" w:x="552" w:y="58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874" w:x="552" w:y="752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按组合</w:t>
      </w:r>
    </w:p>
    <w:p>
      <w:pPr>
        <w:framePr w:w="874" w:x="552" w:y="752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计提坏</w:t>
      </w:r>
    </w:p>
    <w:p>
      <w:pPr>
        <w:framePr w:w="874" w:x="552" w:y="752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账准备</w:t>
      </w:r>
    </w:p>
    <w:p>
      <w:pPr>
        <w:framePr w:w="874" w:x="552" w:y="7527"/>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其中：</w:t>
      </w:r>
    </w:p>
    <w:p>
      <w:pPr>
        <w:framePr w:w="11097" w:x="552" w:y="863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账龄组</w:t>
      </w:r>
      <w:r>
        <w:rPr>
          <w:rFonts w:eastAsiaTheme="minorEastAsia" w:hAnsiTheme="minorHAnsi" w:cstheme="minorBidi"/>
          <w:color w:val="000000"/>
          <w:spacing w:val="26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270,204,009.</w:t>
      </w:r>
      <w:r>
        <w:rPr>
          <w:rFonts w:ascii="SimSun" w:eastAsiaTheme="minorEastAsia" w:hAnsiTheme="minorHAnsi" w:cstheme="minorBidi"/>
          <w:color w:val="000000"/>
          <w:spacing w:val="42"/>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100.</w:t>
      </w:r>
      <w:r>
        <w:rPr>
          <w:rFonts w:ascii="SimSun" w:eastAsiaTheme="minorEastAsia" w:hAnsiTheme="minorHAnsi" w:cstheme="minorBidi"/>
          <w:color w:val="000000"/>
          <w:spacing w:val="-23"/>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13,510,200</w:t>
      </w:r>
      <w:r>
        <w:rPr>
          <w:rFonts w:ascii="SimSun" w:eastAsiaTheme="minorEastAsia" w:hAnsiTheme="minorHAnsi" w:cstheme="minorBidi"/>
          <w:color w:val="000000"/>
          <w:spacing w:val="45"/>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5.00</w:t>
      </w:r>
      <w:r>
        <w:rPr>
          <w:rFonts w:ascii="SimSun" w:eastAsiaTheme="minorEastAsia" w:hAnsiTheme="minorHAnsi" w:cstheme="minorBidi"/>
          <w:color w:val="000000"/>
          <w:spacing w:val="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256,693,809</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195,058,999.</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99.3</w:t>
      </w:r>
      <w:r>
        <w:rPr>
          <w:rFonts w:ascii="SimSun" w:eastAsiaTheme="minorEastAsia" w:hAnsiTheme="minorHAnsi" w:cstheme="minorBidi"/>
          <w:color w:val="000000"/>
          <w:spacing w:val="-26"/>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9,752,949.</w:t>
      </w:r>
      <w:r>
        <w:rPr>
          <w:rFonts w:ascii="SimSun" w:eastAsiaTheme="minorEastAsia" w:hAnsiTheme="minorHAnsi" w:cstheme="minorBidi"/>
          <w:color w:val="000000"/>
          <w:spacing w:val="40"/>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5.00</w:t>
      </w:r>
      <w:r>
        <w:rPr>
          <w:rFonts w:ascii="SimSun" w:eastAsiaTheme="minorEastAsia" w:hAnsiTheme="minorHAnsi" w:cstheme="minorBidi"/>
          <w:color w:val="000000"/>
          <w:spacing w:val="3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185,306,049.</w:t>
      </w:r>
    </w:p>
    <w:p>
      <w:pPr>
        <w:framePr w:w="451" w:x="552" w:y="89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w:t>
      </w:r>
    </w:p>
    <w:p>
      <w:pPr>
        <w:framePr w:w="1020" w:x="2547"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r>
        <w:rPr>
          <w:rFonts w:ascii="SimSun" w:eastAsiaTheme="minorEastAsia" w:hAnsiTheme="minorHAnsi" w:cstheme="minorBidi"/>
          <w:color w:val="000000"/>
          <w:spacing w:val="253"/>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00</w:t>
      </w:r>
    </w:p>
    <w:p>
      <w:pPr>
        <w:framePr w:w="557" w:x="4148"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w:t>
      </w:r>
    </w:p>
    <w:p>
      <w:pPr>
        <w:framePr w:w="557" w:x="5996"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.09</w:t>
      </w:r>
    </w:p>
    <w:p>
      <w:pPr>
        <w:framePr w:w="451" w:x="7518"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w:t>
      </w:r>
    </w:p>
    <w:p>
      <w:pPr>
        <w:framePr w:w="346" w:x="8195"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w:t>
      </w:r>
    </w:p>
    <w:p>
      <w:pPr>
        <w:framePr w:w="451" w:x="9223"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97</w:t>
      </w:r>
    </w:p>
    <w:p>
      <w:pPr>
        <w:framePr w:w="451" w:x="11196" w:y="89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w:t>
      </w:r>
    </w:p>
    <w:p>
      <w:pPr>
        <w:framePr w:w="874" w:x="552" w:y="919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性质组</w:t>
      </w:r>
    </w:p>
    <w:p>
      <w:pPr>
        <w:framePr w:w="874" w:x="552" w:y="919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w:t>
      </w:r>
    </w:p>
    <w:p>
      <w:pPr>
        <w:framePr w:w="2074" w:x="6469" w:y="91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1,256,640.00</w:t>
      </w:r>
      <w:r>
        <w:rPr>
          <w:rFonts w:ascii="SimSun" w:eastAsiaTheme="minorEastAsia" w:hAnsiTheme="minorHAnsi" w:cstheme="minorBidi"/>
          <w:color w:val="000000"/>
          <w:spacing w:val="44"/>
          <w:sz w:val="21"/>
          <w:szCs w:val="22"/>
          <w:lang w:val="en-US" w:eastAsia="en-US" w:bidi="ar-SA"/>
        </w:rPr>
        <w:t xml:space="preserve"> </w:t>
      </w:r>
      <w:r>
        <w:rPr>
          <w:rFonts w:ascii="SimSun" w:eastAsiaTheme="minorEastAsia" w:hAnsiTheme="minorHAnsi" w:cstheme="minorBidi"/>
          <w:color w:val="000000"/>
          <w:spacing w:val="1"/>
          <w:sz w:val="21"/>
          <w:szCs w:val="22"/>
          <w:lang w:val="en-US" w:eastAsia="en-US" w:bidi="ar-SA"/>
        </w:rPr>
        <w:t>0.64</w:t>
      </w:r>
    </w:p>
    <w:p>
      <w:pPr>
        <w:framePr w:w="1507" w:x="10147" w:y="919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1,256,640.00</w:t>
      </w:r>
    </w:p>
    <w:p>
      <w:pPr>
        <w:framePr w:w="10151" w:x="1498" w:y="974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270,204,009.</w:t>
      </w:r>
      <w:r>
        <w:rPr>
          <w:rFonts w:ascii="SimSun" w:eastAsiaTheme="minorEastAsia" w:hAnsiTheme="minorHAnsi" w:cstheme="minorBidi"/>
          <w:color w:val="000000"/>
          <w:spacing w:val="15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8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13,510,200</w:t>
      </w:r>
      <w:r>
        <w:rPr>
          <w:rFonts w:ascii="SimSun"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20"/>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256,693,809</w:t>
      </w:r>
      <w:r>
        <w:rPr>
          <w:rFonts w:ascii="SimSun" w:eastAsiaTheme="minorEastAsia" w:hAnsiTheme="minorHAnsi" w:cstheme="minorBidi"/>
          <w:color w:val="000000"/>
          <w:spacing w:val="5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196,315,639.</w:t>
      </w:r>
      <w:r>
        <w:rPr>
          <w:rFonts w:ascii="SimSun" w:eastAsiaTheme="minorEastAsia" w:hAnsiTheme="minorHAnsi" w:cstheme="minorBidi"/>
          <w:color w:val="000000"/>
          <w:spacing w:val="15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17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9,752,949.</w:t>
      </w:r>
      <w:r>
        <w:rPr>
          <w:rFonts w:ascii="SimSun" w:eastAsiaTheme="minorEastAsia" w:hAnsiTheme="minorHAnsi" w:cstheme="minorBidi"/>
          <w:color w:val="000000"/>
          <w:spacing w:val="15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w:t>
      </w:r>
      <w:r>
        <w:rPr>
          <w:rFonts w:ascii="SimSun" w:eastAsiaTheme="minorEastAsia" w:hAnsiTheme="minorHAnsi" w:cstheme="minorBidi"/>
          <w:color w:val="000000"/>
          <w:spacing w:val="24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186,562,689.</w:t>
      </w:r>
    </w:p>
    <w:p>
      <w:pPr>
        <w:framePr w:w="662" w:x="734" w:y="988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451" w:x="2547"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57</w:t>
      </w:r>
    </w:p>
    <w:p>
      <w:pPr>
        <w:framePr w:w="557" w:x="4148"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.48</w:t>
      </w:r>
    </w:p>
    <w:p>
      <w:pPr>
        <w:framePr w:w="557" w:x="5996"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.09</w:t>
      </w:r>
    </w:p>
    <w:p>
      <w:pPr>
        <w:framePr w:w="451" w:x="7518"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44</w:t>
      </w:r>
    </w:p>
    <w:p>
      <w:pPr>
        <w:framePr w:w="451" w:x="9223"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97</w:t>
      </w:r>
    </w:p>
    <w:p>
      <w:pPr>
        <w:framePr w:w="451" w:x="11196" w:y="1001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47</w:t>
      </w:r>
    </w:p>
    <w:p>
      <w:pPr>
        <w:framePr w:w="2352" w:x="1798" w:y="10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按单项计提坏账准备：</w:t>
      </w:r>
    </w:p>
    <w:p>
      <w:pPr>
        <w:framePr w:w="2352" w:x="1798" w:y="1057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115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按组合计提坏账准备：</w:t>
      </w:r>
    </w:p>
    <w:p>
      <w:pPr>
        <w:framePr w:w="1817" w:x="1798" w:y="1193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63" w:x="1798" w:y="122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组合计提项目：账龄组合</w:t>
      </w:r>
    </w:p>
    <w:p>
      <w:pPr>
        <w:framePr w:w="2554" w:x="8217" w:y="124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92" w:x="6841" w:y="12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92" w:x="6841" w:y="1276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662" w:x="2528" w:y="12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1085" w:x="4520" w:y="130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w:t>
      </w:r>
    </w:p>
    <w:p>
      <w:pPr>
        <w:framePr w:w="1613" w:x="8910" w:y="130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计提比例（</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1030" w:x="1798" w:y="133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1718" w:x="4515" w:y="133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270,204,009.57</w:t>
      </w:r>
    </w:p>
    <w:p>
      <w:pPr>
        <w:framePr w:w="1718" w:x="4515" w:y="133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270,204,009.57</w:t>
      </w:r>
    </w:p>
    <w:p>
      <w:pPr>
        <w:framePr w:w="1613" w:x="6973" w:y="133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13,510,200.48</w:t>
      </w:r>
    </w:p>
    <w:p>
      <w:pPr>
        <w:framePr w:w="1613" w:x="6973" w:y="133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13,510,200.48</w:t>
      </w:r>
    </w:p>
    <w:p>
      <w:pPr>
        <w:framePr w:w="662" w:x="10212" w:y="1332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w:t>
      </w:r>
    </w:p>
    <w:p>
      <w:pPr>
        <w:framePr w:w="662" w:x="10212" w:y="13326"/>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5.00</w:t>
      </w:r>
    </w:p>
    <w:p>
      <w:pPr>
        <w:framePr w:w="662" w:x="2528" w:y="1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3619" w:x="1798" w:y="138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按组合计提坏账的确认标准及说明：</w:t>
      </w:r>
    </w:p>
    <w:p>
      <w:pPr>
        <w:framePr w:w="1817" w:x="1798" w:y="143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6576" w:x="1798" w:y="148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如按预期信用损失一般模型计提坏账准备，请参照其他应收款披露：</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140</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3" type="#_x0000_t75" style="width:445.6pt;height:2.7pt;margin-top:53.65pt;margin-left:87.45pt;mso-position-horizontal-relative:page;mso-position-vertical-relative:page;position:absolute;z-index:-251315200">
            <v:imagedata r:id="rId276" o:title=""/>
          </v:shape>
        </w:pict>
      </w:r>
      <w:r>
        <w:rPr>
          <w:noProof/>
        </w:rPr>
        <w:pict>
          <v:shape id="_x0000_s1344" type="#_x0000_t75" style="width:454.95pt;height:87.2pt;margin-top:74.3pt;margin-left:83.25pt;mso-position-horizontal-relative:page;mso-position-vertical-relative:page;position:absolute;z-index:-251348992">
            <v:imagedata r:id="rId277" o:title=""/>
          </v:shape>
        </w:pict>
      </w:r>
      <w:r>
        <w:rPr>
          <w:noProof/>
        </w:rPr>
        <w:pict>
          <v:shape id="_x0000_s1345" type="#_x0000_t75" style="width:548.35pt;height:294.6pt;margin-top:220pt;margin-left:24.8pt;mso-position-horizontal-relative:page;mso-position-vertical-relative:page;position:absolute;z-index:-251411456">
            <v:imagedata r:id="rId278" o:title=""/>
          </v:shape>
        </w:pict>
      </w:r>
      <w:r>
        <w:rPr>
          <w:noProof/>
        </w:rPr>
        <w:pict>
          <v:shape id="_x0000_s1346" type="#_x0000_t75" style="width:454.95pt;height:59pt;margin-top:635.15pt;margin-left:83.25pt;mso-position-horizontal-relative:page;mso-position-vertical-relative:page;position:absolute;z-index:-251515904">
            <v:imagedata r:id="rId279" o:title=""/>
          </v:shape>
        </w:pict>
      </w:r>
    </w:p>
    <w:p>
      <w:pPr>
        <w:spacing w:line="0" w:lineRule="atLeast"/>
        <w:rPr>
          <w:rFonts w:ascii="Arial" w:eastAsiaTheme="minorEastAsia" w:hAnsiTheme="minorHAnsi" w:cstheme="minorBidi"/>
          <w:color w:val="FF0000"/>
          <w:sz w:val="2"/>
          <w:szCs w:val="22"/>
          <w:lang w:val="en-US" w:eastAsia="en-US" w:bidi="ar-SA"/>
        </w:rPr>
      </w:pPr>
      <w:bookmarkStart w:id="140" w:name="br1_139"/>
      <w:bookmarkEnd w:id="140"/>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817" w:x="1798" w:y="15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62" w:x="1798" w:y="21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坏账准备的情况</w:t>
      </w:r>
    </w:p>
    <w:p>
      <w:pPr>
        <w:framePr w:w="1817" w:x="1798"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507" w:x="6558" w:y="30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662" w:x="2124" w:y="3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682" w:y="3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874" w:x="6549" w:y="3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收回或</w:t>
      </w:r>
    </w:p>
    <w:p>
      <w:pPr>
        <w:framePr w:w="874" w:x="6549" w:y="3312"/>
        <w:widowControl w:val="0"/>
        <w:autoSpaceDE w:val="0"/>
        <w:autoSpaceDN w:val="0"/>
        <w:spacing w:before="60"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转回</w:t>
      </w:r>
    </w:p>
    <w:p>
      <w:pPr>
        <w:framePr w:w="1085" w:x="7511" w:y="3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转销或核</w:t>
      </w:r>
    </w:p>
    <w:p>
      <w:pPr>
        <w:framePr w:w="1085" w:x="7511" w:y="3312"/>
        <w:widowControl w:val="0"/>
        <w:autoSpaceDE w:val="0"/>
        <w:autoSpaceDN w:val="0"/>
        <w:spacing w:before="60" w:line="211" w:lineRule="exact"/>
        <w:ind w:left="31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销</w:t>
      </w:r>
    </w:p>
    <w:p>
      <w:pPr>
        <w:framePr w:w="874" w:x="8785" w:y="33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其他变</w:t>
      </w:r>
    </w:p>
    <w:p>
      <w:pPr>
        <w:framePr w:w="874" w:x="8785" w:y="3312"/>
        <w:widowControl w:val="0"/>
        <w:autoSpaceDE w:val="0"/>
        <w:autoSpaceDN w:val="0"/>
        <w:spacing w:before="60" w:line="211" w:lineRule="exact"/>
        <w:ind w:left="42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w:t>
      </w:r>
    </w:p>
    <w:p>
      <w:pPr>
        <w:framePr w:w="1085" w:x="9904" w:y="33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5041" w:x="1421" w:y="3446"/>
        <w:widowControl w:val="0"/>
        <w:autoSpaceDE w:val="0"/>
        <w:autoSpaceDN w:val="0"/>
        <w:spacing w:line="211" w:lineRule="exact"/>
        <w:ind w:left="3958"/>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5041" w:x="1421" w:y="3446"/>
        <w:widowControl w:val="0"/>
        <w:autoSpaceDE w:val="0"/>
        <w:autoSpaceDN w:val="0"/>
        <w:spacing w:before="209"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应收账款坏账准备</w:t>
      </w:r>
      <w:r>
        <w:rPr>
          <w:rFonts w:eastAsiaTheme="minorEastAsia" w:hAnsiTheme="minorHAnsi" w:cstheme="minorBidi"/>
          <w:color w:val="000000"/>
          <w:spacing w:val="318"/>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9,752,949.97</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3,757,250.51</w:t>
      </w:r>
    </w:p>
    <w:p>
      <w:pPr>
        <w:framePr w:w="5041" w:x="1421" w:y="3446"/>
        <w:widowControl w:val="0"/>
        <w:autoSpaceDE w:val="0"/>
        <w:autoSpaceDN w:val="0"/>
        <w:spacing w:before="70" w:line="211" w:lineRule="exact"/>
        <w:ind w:left="703"/>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87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9,752,949.97</w:t>
      </w:r>
      <w:r>
        <w:rPr>
          <w:rFonts w:ascii="SimSun" w:eastAsiaTheme="minorEastAsia" w:hAnsiTheme="minorHAnsi" w:cstheme="minorBidi"/>
          <w:color w:val="000000"/>
          <w:spacing w:val="11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3,757,250.51</w:t>
      </w:r>
    </w:p>
    <w:p>
      <w:pPr>
        <w:framePr w:w="1613" w:x="9643" w:y="386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13,510,200.48</w:t>
      </w:r>
    </w:p>
    <w:p>
      <w:pPr>
        <w:framePr w:w="1613" w:x="9643" w:y="3866"/>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13,510,200.48</w:t>
      </w:r>
    </w:p>
    <w:p>
      <w:pPr>
        <w:framePr w:w="4253" w:x="1798" w:y="4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其中本期坏账准备收回或转回金额重要的：</w:t>
      </w:r>
    </w:p>
    <w:p>
      <w:pPr>
        <w:framePr w:w="4253" w:x="1798" w:y="468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3" w:x="1798" w:y="57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本期实际核销的应收账款情况</w:t>
      </w:r>
    </w:p>
    <w:p>
      <w:pPr>
        <w:framePr w:w="1817" w:x="1798" w:y="61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299" w:x="1798" w:y="67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按欠款方归集的期末余额前五名的应收账款情况</w:t>
      </w:r>
    </w:p>
    <w:p>
      <w:pPr>
        <w:framePr w:w="1817" w:x="1798" w:y="72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2400" w:y="7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4662" w:y="7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2213" w:x="6397" w:y="7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占应收账款期末余额</w:t>
      </w:r>
    </w:p>
    <w:p>
      <w:pPr>
        <w:framePr w:w="2213" w:x="6397" w:y="7795"/>
        <w:widowControl w:val="0"/>
        <w:autoSpaceDE w:val="0"/>
        <w:autoSpaceDN w:val="0"/>
        <w:spacing w:before="62" w:line="211" w:lineRule="exact"/>
        <w:ind w:left="370"/>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的比例（</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framePr w:w="2213" w:x="6397" w:y="7795"/>
        <w:widowControl w:val="0"/>
        <w:autoSpaceDE w:val="0"/>
        <w:autoSpaceDN w:val="0"/>
        <w:spacing w:before="72" w:line="211" w:lineRule="exact"/>
        <w:ind w:left="144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18.57</w:t>
      </w:r>
    </w:p>
    <w:p>
      <w:pPr>
        <w:framePr w:w="1718" w:x="8872" w:y="77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已计提坏账准备</w:t>
      </w:r>
    </w:p>
    <w:p>
      <w:pPr>
        <w:framePr w:w="874" w:x="1798" w:y="83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客户一</w:t>
      </w:r>
    </w:p>
    <w:p>
      <w:pPr>
        <w:framePr w:w="874" w:x="1798" w:y="835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客户二</w:t>
      </w:r>
    </w:p>
    <w:p>
      <w:pPr>
        <w:framePr w:w="874" w:x="1798" w:y="83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客户三</w:t>
      </w:r>
    </w:p>
    <w:p>
      <w:pPr>
        <w:framePr w:w="874" w:x="1798" w:y="83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客户四</w:t>
      </w:r>
    </w:p>
    <w:p>
      <w:pPr>
        <w:framePr w:w="874" w:x="1798" w:y="835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客户五</w:t>
      </w:r>
    </w:p>
    <w:p>
      <w:pPr>
        <w:framePr w:w="874" w:x="1798" w:y="8352"/>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4635" w:y="8352"/>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50,165,755.13</w:t>
      </w:r>
    </w:p>
    <w:p>
      <w:pPr>
        <w:framePr w:w="1718" w:x="4635" w:y="835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37,382,591.80</w:t>
      </w:r>
    </w:p>
    <w:p>
      <w:pPr>
        <w:framePr w:w="1718" w:x="4635" w:y="835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29,367,536.72</w:t>
      </w:r>
    </w:p>
    <w:p>
      <w:pPr>
        <w:framePr w:w="1718" w:x="4635" w:y="8352"/>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23,216,686.74</w:t>
      </w:r>
    </w:p>
    <w:p>
      <w:pPr>
        <w:framePr w:w="1718" w:x="4635" w:y="835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21,741,699.53</w:t>
      </w:r>
    </w:p>
    <w:p>
      <w:pPr>
        <w:framePr w:w="1718" w:x="4635" w:y="835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161,874,269.92</w:t>
      </w:r>
    </w:p>
    <w:p>
      <w:pPr>
        <w:framePr w:w="1507" w:x="9372" w:y="835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2,508,287.76</w:t>
      </w:r>
    </w:p>
    <w:p>
      <w:pPr>
        <w:framePr w:w="1507" w:x="9372" w:y="835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1,869,129.59</w:t>
      </w:r>
    </w:p>
    <w:p>
      <w:pPr>
        <w:framePr w:w="1507" w:x="9372" w:y="835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1,468,376.84</w:t>
      </w:r>
    </w:p>
    <w:p>
      <w:pPr>
        <w:framePr w:w="1507" w:x="9372" w:y="835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1,160,834.34</w:t>
      </w:r>
    </w:p>
    <w:p>
      <w:pPr>
        <w:framePr w:w="1507" w:x="9372" w:y="8352"/>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1,087,084.98</w:t>
      </w:r>
    </w:p>
    <w:p>
      <w:pPr>
        <w:framePr w:w="1507" w:x="9372" w:y="835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8,093,713.51</w:t>
      </w:r>
    </w:p>
    <w:p>
      <w:pPr>
        <w:framePr w:w="768" w:x="7842" w:y="863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13.83</w:t>
      </w:r>
    </w:p>
    <w:p>
      <w:pPr>
        <w:framePr w:w="768" w:x="7842" w:y="891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10.87</w:t>
      </w:r>
    </w:p>
    <w:p>
      <w:pPr>
        <w:framePr w:w="662" w:x="7948" w:y="9200"/>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8.59</w:t>
      </w:r>
    </w:p>
    <w:p>
      <w:pPr>
        <w:framePr w:w="662" w:x="7948" w:y="948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8.05</w:t>
      </w:r>
    </w:p>
    <w:p>
      <w:pPr>
        <w:framePr w:w="768" w:x="7842" w:y="976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59.91</w:t>
      </w:r>
    </w:p>
    <w:p>
      <w:pPr>
        <w:framePr w:w="4457" w:x="1798" w:y="103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因金融资产转移而终止确认的应收账款</w:t>
      </w:r>
    </w:p>
    <w:p>
      <w:pPr>
        <w:framePr w:w="1817" w:x="1798" w:y="107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0" w:x="1798" w:y="112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(7).</w:t>
      </w:r>
      <w:r>
        <w:rPr>
          <w:rFonts w:ascii="SimSun" w:eastAsiaTheme="minorEastAsia" w:hAnsiTheme="minorHAnsi" w:cstheme="minorBidi"/>
          <w:color w:val="000000"/>
          <w:spacing w:val="1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转移应收账款且继续涉入形成的资产、负债金额</w:t>
      </w:r>
    </w:p>
    <w:p>
      <w:pPr>
        <w:framePr w:w="1817" w:x="1798" w:y="116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21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24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721" w:x="1798" w:y="130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其他应收款</w:t>
      </w:r>
    </w:p>
    <w:p>
      <w:pPr>
        <w:framePr w:w="1721" w:x="1798" w:y="13009"/>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项目列示</w:t>
      </w:r>
    </w:p>
    <w:p>
      <w:pPr>
        <w:framePr w:w="1817" w:x="1798" w:y="1367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39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3945"/>
        <w:widowControl w:val="0"/>
        <w:autoSpaceDE w:val="0"/>
        <w:autoSpaceDN w:val="0"/>
        <w:spacing w:before="72" w:line="211" w:lineRule="exact"/>
        <w:ind w:left="487"/>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3125" w:y="142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085" w:x="5927" w:y="1422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296" w:x="1798" w:y="145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应收利息</w:t>
      </w:r>
    </w:p>
    <w:p>
      <w:pPr>
        <w:framePr w:w="1296" w:x="1798" w:y="1450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应收股利</w:t>
      </w:r>
    </w:p>
    <w:p>
      <w:pPr>
        <w:framePr w:w="1296" w:x="1798" w:y="1450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18" w:x="6284" w:y="150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314,183,238.62</w:t>
      </w:r>
    </w:p>
    <w:p>
      <w:pPr>
        <w:framePr w:w="1718" w:x="9156" w:y="150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141</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47" type="#_x0000_t75" style="width:445.6pt;height:2.7pt;margin-top:53.65pt;margin-left:87.45pt;mso-position-horizontal-relative:page;mso-position-vertical-relative:page;position:absolute;z-index:-251314176">
            <v:imagedata r:id="rId280" o:title=""/>
          </v:shape>
        </w:pict>
      </w:r>
      <w:r>
        <w:rPr>
          <w:noProof/>
        </w:rPr>
        <w:pict>
          <v:shape id="_x0000_s1348" type="#_x0000_t75" style="width:493.1pt;height:72.55pt;margin-top:148.45pt;margin-left:64.2pt;mso-position-horizontal-relative:page;mso-position-vertical-relative:page;position:absolute;z-index:-251347968">
            <v:imagedata r:id="rId281" o:title=""/>
          </v:shape>
        </w:pict>
      </w:r>
      <w:r>
        <w:rPr>
          <w:noProof/>
        </w:rPr>
        <w:pict>
          <v:shape id="_x0000_s1349" type="#_x0000_t75" style="width:454.95pt;height:114.95pt;margin-top:386.8pt;margin-left:83.25pt;mso-position-horizontal-relative:page;mso-position-vertical-relative:page;position:absolute;z-index:-251410432">
            <v:imagedata r:id="rId282" o:title=""/>
          </v:shape>
        </w:pict>
      </w:r>
      <w:r>
        <w:rPr>
          <w:noProof/>
        </w:rPr>
        <w:pict>
          <v:shape id="_x0000_s1350" type="#_x0000_t75" style="width:447.3pt;height:59pt;margin-top:708.35pt;margin-left:87.1pt;mso-position-horizontal-relative:page;mso-position-vertical-relative:page;position:absolute;z-index:-251514880">
            <v:imagedata r:id="rId283" o:title=""/>
          </v:shape>
        </w:pict>
      </w:r>
    </w:p>
    <w:p>
      <w:pPr>
        <w:spacing w:line="0" w:lineRule="atLeast"/>
        <w:rPr>
          <w:rFonts w:ascii="Arial" w:eastAsiaTheme="minorEastAsia" w:hAnsiTheme="minorHAnsi" w:cstheme="minorBidi"/>
          <w:color w:val="FF0000"/>
          <w:sz w:val="2"/>
          <w:szCs w:val="22"/>
          <w:lang w:val="en-US" w:eastAsia="en-US" w:bidi="ar-SA"/>
        </w:rPr>
      </w:pPr>
      <w:bookmarkStart w:id="141" w:name="br1_140"/>
      <w:bookmarkEnd w:id="141"/>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62" w:x="3125"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6289"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314,183,238.62</w:t>
      </w:r>
    </w:p>
    <w:p>
      <w:pPr>
        <w:framePr w:w="1718" w:x="9156"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181,699,075.20</w:t>
      </w:r>
    </w:p>
    <w:p>
      <w:pPr>
        <w:framePr w:w="1296" w:x="1798"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251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31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应收利息</w:t>
      </w:r>
    </w:p>
    <w:p>
      <w:pPr>
        <w:framePr w:w="2357" w:x="1798" w:y="35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应收利息分类</w:t>
      </w:r>
    </w:p>
    <w:p>
      <w:pPr>
        <w:framePr w:w="2357" w:x="1798" w:y="3583"/>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3583"/>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重要逾期利息</w:t>
      </w:r>
    </w:p>
    <w:p>
      <w:pPr>
        <w:framePr w:w="2357" w:x="1798" w:y="3583"/>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3583"/>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2357" w:x="1798" w:y="3583"/>
        <w:widowControl w:val="0"/>
        <w:autoSpaceDE w:val="0"/>
        <w:autoSpaceDN w:val="0"/>
        <w:spacing w:before="25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64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6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748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应收股利</w:t>
      </w:r>
    </w:p>
    <w:p>
      <w:pPr>
        <w:framePr w:w="1512" w:x="1798" w:y="79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应收股利</w:t>
      </w:r>
    </w:p>
    <w:p>
      <w:pPr>
        <w:framePr w:w="1817" w:x="1798" w:y="84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39" w:x="1798" w:y="8871"/>
        <w:widowControl w:val="0"/>
        <w:autoSpaceDE w:val="0"/>
        <w:autoSpaceDN w:val="0"/>
        <w:spacing w:line="248"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重要的账龄超过</w:t>
      </w:r>
      <w:r>
        <w:rPr>
          <w:rFonts w:eastAsiaTheme="minorEastAsia" w:hAnsiTheme="minorHAnsi" w:cstheme="minorBidi"/>
          <w:color w:val="000000"/>
          <w:sz w:val="21"/>
          <w:szCs w:val="22"/>
          <w:lang w:val="en-US" w:eastAsia="en-US" w:bidi="ar-SA"/>
        </w:rPr>
        <w:t xml:space="preserve"> </w:t>
      </w:r>
      <w:r>
        <w:rPr>
          <w:rFonts w:ascii="Cambria" w:eastAsiaTheme="minorEastAsia" w:hAnsiTheme="minorHAnsi" w:cstheme="minorBidi"/>
          <w:b/>
          <w:color w:val="000000"/>
          <w:sz w:val="21"/>
          <w:szCs w:val="22"/>
          <w:lang w:val="en-US" w:eastAsia="en-US" w:bidi="ar-SA"/>
        </w:rPr>
        <w:t>1</w:t>
      </w:r>
      <w:r>
        <w:rPr>
          <w:rFonts w:ascii="Cambria" w:eastAsiaTheme="minorEastAsia" w:hAnsiTheme="minorHAnsi" w:cstheme="minorBidi"/>
          <w:b/>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年的应收股利</w:t>
      </w:r>
    </w:p>
    <w:p>
      <w:pPr>
        <w:framePr w:w="3639" w:x="1798" w:y="8871"/>
        <w:widowControl w:val="0"/>
        <w:autoSpaceDE w:val="0"/>
        <w:autoSpaceDN w:val="0"/>
        <w:spacing w:before="24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7" w:x="1798" w:y="98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2357" w:x="1798" w:y="9826"/>
        <w:widowControl w:val="0"/>
        <w:autoSpaceDE w:val="0"/>
        <w:autoSpaceDN w:val="0"/>
        <w:spacing w:before="25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08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124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185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其他应收款</w:t>
      </w:r>
    </w:p>
    <w:p>
      <w:pPr>
        <w:framePr w:w="1723" w:x="1798" w:y="1218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pacing w:val="1"/>
          <w:sz w:val="21"/>
          <w:szCs w:val="22"/>
          <w:lang w:val="en-US" w:eastAsia="en-US" w:bidi="ar-SA"/>
        </w:rPr>
        <w:t>按账龄披露</w:t>
      </w:r>
    </w:p>
    <w:p>
      <w:pPr>
        <w:framePr w:w="1723" w:x="1798" w:y="12186"/>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√适用□不适用</w:t>
      </w:r>
    </w:p>
    <w:p>
      <w:pPr>
        <w:framePr w:w="2590" w:x="8284" w:y="12791"/>
        <w:widowControl w:val="0"/>
        <w:autoSpaceDE w:val="0"/>
        <w:autoSpaceDN w:val="0"/>
        <w:spacing w:line="211" w:lineRule="exact"/>
        <w:ind w:left="36"/>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90" w:x="8284" w:y="1279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662" w:x="4179" w:y="130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1030" w:x="1798" w:y="133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081" w:x="1798" w:y="136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年以内分项</w:t>
      </w:r>
    </w:p>
    <w:p>
      <w:pPr>
        <w:framePr w:w="2081" w:x="1798" w:y="136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年以内小计</w:t>
      </w:r>
    </w:p>
    <w:p>
      <w:pPr>
        <w:framePr w:w="2081" w:x="1798" w:y="136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2</w:t>
      </w:r>
      <w:r>
        <w:rPr>
          <w:rFonts w:ascii="SimSun" w:hAnsi="SimSun" w:eastAsiaTheme="minorEastAsia" w:cs="SimSun"/>
          <w:color w:val="000000"/>
          <w:sz w:val="21"/>
          <w:szCs w:val="22"/>
          <w:lang w:val="en-US" w:eastAsia="en-US" w:bidi="ar-SA"/>
        </w:rPr>
        <w:t>年</w:t>
      </w:r>
    </w:p>
    <w:p>
      <w:pPr>
        <w:framePr w:w="1718" w:x="9160" w:y="1392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258,980,988.64</w:t>
      </w:r>
    </w:p>
    <w:p>
      <w:pPr>
        <w:framePr w:w="1718" w:x="9160" w:y="13921"/>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55,215,645.23</w:t>
      </w:r>
    </w:p>
    <w:p>
      <w:pPr>
        <w:framePr w:w="1030" w:x="1798" w:y="1448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2</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3</w:t>
      </w:r>
      <w:r>
        <w:rPr>
          <w:rFonts w:ascii="SimSun" w:hAnsi="SimSun" w:eastAsiaTheme="minorEastAsia" w:cs="SimSun"/>
          <w:color w:val="000000"/>
          <w:sz w:val="21"/>
          <w:szCs w:val="22"/>
          <w:lang w:val="en-US" w:eastAsia="en-US" w:bidi="ar-SA"/>
        </w:rPr>
        <w:t>年</w:t>
      </w:r>
    </w:p>
    <w:p>
      <w:pPr>
        <w:framePr w:w="1030" w:x="1798" w:y="147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3</w:t>
      </w:r>
      <w:r>
        <w:rPr>
          <w:rFonts w:ascii="SimSun" w:hAnsi="SimSun" w:eastAsiaTheme="minorEastAsia" w:cs="SimSun"/>
          <w:color w:val="000000"/>
          <w:sz w:val="21"/>
          <w:szCs w:val="22"/>
          <w:lang w:val="en-US" w:eastAsia="en-US" w:bidi="ar-SA"/>
        </w:rPr>
        <w:t>至</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1"/>
          <w:sz w:val="21"/>
          <w:szCs w:val="22"/>
          <w:lang w:val="en-US" w:eastAsia="en-US" w:bidi="ar-SA"/>
        </w:rPr>
        <w:t>4</w:t>
      </w:r>
      <w:r>
        <w:rPr>
          <w:rFonts w:ascii="SimSun" w:hAnsi="SimSun" w:eastAsiaTheme="minorEastAsia" w:cs="SimSun"/>
          <w:color w:val="000000"/>
          <w:sz w:val="21"/>
          <w:szCs w:val="22"/>
          <w:lang w:val="en-US" w:eastAsia="en-US" w:bidi="ar-SA"/>
        </w:rPr>
        <w:t>年</w:t>
      </w:r>
    </w:p>
    <w:p>
      <w:pPr>
        <w:framePr w:w="1190" w:x="9686" w:y="1476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w:t>
      </w:r>
    </w:p>
    <w:p>
      <w:pPr>
        <w:framePr w:w="1190" w:x="9686" w:y="14768"/>
        <w:widowControl w:val="0"/>
        <w:autoSpaceDE w:val="0"/>
        <w:autoSpaceDN w:val="0"/>
        <w:spacing w:before="72"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3,500.00</w:t>
      </w:r>
    </w:p>
    <w:p>
      <w:pPr>
        <w:framePr w:w="1030" w:x="1798" w:y="1505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53"/>
          <w:sz w:val="21"/>
          <w:szCs w:val="22"/>
          <w:lang w:val="en-US" w:eastAsia="en-US" w:bidi="ar-SA"/>
        </w:rPr>
        <w:t>4</w:t>
      </w:r>
      <w:r>
        <w:rPr>
          <w:rFonts w:ascii="SimSun" w:hAnsi="SimSun" w:eastAsiaTheme="minorEastAsia" w:cs="SimSun"/>
          <w:color w:val="000000"/>
          <w:sz w:val="21"/>
          <w:szCs w:val="22"/>
          <w:lang w:val="en-US" w:eastAsia="en-US" w:bidi="ar-SA"/>
        </w:rPr>
        <w:t>年以上</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142</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51" type="#_x0000_t75" style="width:445.6pt;height:2.7pt;margin-top:53.65pt;margin-left:87.45pt;mso-position-horizontal-relative:page;mso-position-vertical-relative:page;position:absolute;z-index:-251346944">
            <v:imagedata r:id="rId284" o:title=""/>
          </v:shape>
        </w:pict>
      </w:r>
      <w:r>
        <w:rPr>
          <w:noProof/>
        </w:rPr>
        <w:pict>
          <v:shape id="_x0000_s1352" type="#_x0000_t75" style="width:447.3pt;height:16.65pt;margin-top:74.3pt;margin-left:87.1pt;mso-position-horizontal-relative:page;mso-position-vertical-relative:page;position:absolute;z-index:-251409408">
            <v:imagedata r:id="rId285" o:title=""/>
          </v:shape>
        </w:pict>
      </w:r>
      <w:r>
        <w:rPr>
          <w:noProof/>
        </w:rPr>
        <w:pict>
          <v:shape id="_x0000_s1353" type="#_x0000_t75" style="width:454.95pt;height:115.4pt;margin-top:650.75pt;margin-left:83.25pt;mso-position-horizontal-relative:page;mso-position-vertical-relative:page;position:absolute;z-index:-251513856">
            <v:imagedata r:id="rId286" o:title=""/>
          </v:shape>
        </w:pict>
      </w:r>
    </w:p>
    <w:p>
      <w:pPr>
        <w:spacing w:line="0" w:lineRule="atLeast"/>
        <w:rPr>
          <w:rFonts w:ascii="Arial" w:eastAsiaTheme="minorEastAsia" w:hAnsiTheme="minorHAnsi" w:cstheme="minorBidi"/>
          <w:color w:val="FF0000"/>
          <w:sz w:val="2"/>
          <w:szCs w:val="22"/>
          <w:lang w:val="en-US" w:eastAsia="en-US" w:bidi="ar-SA"/>
        </w:rPr>
      </w:pPr>
      <w:bookmarkStart w:id="142" w:name="br1_141"/>
      <w:bookmarkEnd w:id="142"/>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662" w:x="4179"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314,210,133.87</w:t>
      </w:r>
    </w:p>
    <w:p>
      <w:pPr>
        <w:framePr w:w="2146" w:x="1798" w:y="21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(2).</w:t>
      </w:r>
      <w:r>
        <w:rPr>
          <w:rFonts w:ascii="SimSun" w:hAnsi="SimSun" w:eastAsiaTheme="minorEastAsia" w:cs="SimSun"/>
          <w:color w:val="000000"/>
          <w:spacing w:val="1"/>
          <w:sz w:val="21"/>
          <w:szCs w:val="22"/>
          <w:lang w:val="en-US" w:eastAsia="en-US" w:bidi="ar-SA"/>
        </w:rPr>
        <w:t>按款项性质分类</w:t>
      </w:r>
    </w:p>
    <w:p>
      <w:pPr>
        <w:framePr w:w="1817" w:x="1798" w:y="24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43" w:x="8531" w:y="276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币种</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人民币</w:t>
      </w:r>
    </w:p>
    <w:p>
      <w:pPr>
        <w:framePr w:w="2343" w:x="8531" w:y="2767"/>
        <w:widowControl w:val="0"/>
        <w:autoSpaceDE w:val="0"/>
        <w:autoSpaceDN w:val="0"/>
        <w:spacing w:before="70" w:line="211" w:lineRule="exact"/>
        <w:ind w:left="8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期初账面余额</w:t>
      </w:r>
    </w:p>
    <w:p>
      <w:pPr>
        <w:framePr w:w="2343" w:x="8531" w:y="2767"/>
        <w:widowControl w:val="0"/>
        <w:autoSpaceDE w:val="0"/>
        <w:autoSpaceDN w:val="0"/>
        <w:spacing w:before="72" w:line="211" w:lineRule="exact"/>
        <w:ind w:left="629"/>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181,450,000.00</w:t>
      </w:r>
    </w:p>
    <w:p>
      <w:pPr>
        <w:framePr w:w="2343" w:x="8531" w:y="2767"/>
        <w:widowControl w:val="0"/>
        <w:autoSpaceDE w:val="0"/>
        <w:autoSpaceDN w:val="0"/>
        <w:spacing w:before="72" w:line="211" w:lineRule="exact"/>
        <w:ind w:left="1155"/>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10,500.00</w:t>
      </w:r>
    </w:p>
    <w:p>
      <w:pPr>
        <w:framePr w:w="2352" w:x="1798" w:y="3048"/>
        <w:widowControl w:val="0"/>
        <w:autoSpaceDE w:val="0"/>
        <w:autoSpaceDN w:val="0"/>
        <w:spacing w:line="211" w:lineRule="exact"/>
        <w:ind w:left="101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款项性质</w:t>
      </w:r>
    </w:p>
    <w:p>
      <w:pPr>
        <w:framePr w:w="2352" w:x="1798" w:y="30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合并范围内关联方往来</w:t>
      </w:r>
    </w:p>
    <w:p>
      <w:pPr>
        <w:framePr w:w="2352" w:x="1798" w:y="304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保证金、押金</w:t>
      </w:r>
    </w:p>
    <w:p>
      <w:pPr>
        <w:framePr w:w="2352" w:x="1798" w:y="304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备用金</w:t>
      </w:r>
    </w:p>
    <w:p>
      <w:pPr>
        <w:framePr w:w="1507" w:x="5624" w:y="30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期末账面余额</w:t>
      </w:r>
    </w:p>
    <w:p>
      <w:pPr>
        <w:framePr w:w="1718" w:x="6167" w:y="333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313,870,036.14</w:t>
      </w:r>
    </w:p>
    <w:p>
      <w:pPr>
        <w:framePr w:w="1190" w:x="6693" w:y="361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18,900.00</w:t>
      </w:r>
    </w:p>
    <w:p>
      <w:pPr>
        <w:framePr w:w="1190" w:x="6693" w:y="361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6,000.00</w:t>
      </w:r>
    </w:p>
    <w:p>
      <w:pPr>
        <w:framePr w:w="1190" w:x="9686" w:y="38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16,428.85</w:t>
      </w:r>
    </w:p>
    <w:p>
      <w:pPr>
        <w:framePr w:w="874" w:x="1798" w:y="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暂借款</w:t>
      </w:r>
    </w:p>
    <w:p>
      <w:pPr>
        <w:framePr w:w="1190" w:x="6693" w:y="41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79,656.00</w:t>
      </w:r>
    </w:p>
    <w:p>
      <w:pPr>
        <w:framePr w:w="1190" w:x="9686" w:y="417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35,534.60</w:t>
      </w:r>
    </w:p>
    <w:p>
      <w:pPr>
        <w:framePr w:w="874" w:x="1798" w:y="446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718" w:x="6167" w:y="4461"/>
        <w:widowControl w:val="0"/>
        <w:autoSpaceDE w:val="0"/>
        <w:autoSpaceDN w:val="0"/>
        <w:spacing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235,541.73</w:t>
      </w:r>
    </w:p>
    <w:p>
      <w:pPr>
        <w:framePr w:w="1718" w:x="6167" w:y="4461"/>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314,210,133.87</w:t>
      </w:r>
    </w:p>
    <w:p>
      <w:pPr>
        <w:framePr w:w="1296" w:x="9580" w:y="446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209,066.65</w:t>
      </w:r>
    </w:p>
    <w:p>
      <w:pPr>
        <w:framePr w:w="662" w:x="3017" w:y="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9160" w:y="474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181,721,530.10</w:t>
      </w:r>
    </w:p>
    <w:p>
      <w:pPr>
        <w:framePr w:w="2357" w:x="1798" w:y="535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(3).</w:t>
      </w:r>
      <w:r>
        <w:rPr>
          <w:rFonts w:ascii="SimSun" w:hAnsi="SimSun" w:eastAsiaTheme="minorEastAsia" w:cs="SimSun"/>
          <w:color w:val="000000"/>
          <w:spacing w:val="1"/>
          <w:sz w:val="21"/>
          <w:szCs w:val="22"/>
          <w:lang w:val="en-US" w:eastAsia="en-US" w:bidi="ar-SA"/>
        </w:rPr>
        <w:t>坏账准备计提情况</w:t>
      </w:r>
    </w:p>
    <w:p>
      <w:pPr>
        <w:framePr w:w="1817" w:x="1798" w:y="56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217" w:y="59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4069" w:y="6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第一阶段</w:t>
      </w:r>
    </w:p>
    <w:p>
      <w:pPr>
        <w:framePr w:w="1085" w:x="5771" w:y="6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第二阶段</w:t>
      </w:r>
    </w:p>
    <w:p>
      <w:pPr>
        <w:framePr w:w="1085" w:x="7897" w:y="62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第三阶段</w:t>
      </w:r>
    </w:p>
    <w:p>
      <w:pPr>
        <w:framePr w:w="1296" w:x="3963" w:y="6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未来</w:t>
      </w:r>
      <w:r>
        <w:rPr>
          <w:rFonts w:ascii="SimSun" w:eastAsiaTheme="minorEastAsia" w:hAnsiTheme="minorHAnsi" w:cstheme="minorBidi"/>
          <w:color w:val="000000"/>
          <w:spacing w:val="-1"/>
          <w:sz w:val="21"/>
          <w:szCs w:val="22"/>
          <w:lang w:val="en-US" w:eastAsia="en-US" w:bidi="ar-SA"/>
        </w:rPr>
        <w:t>12</w:t>
      </w:r>
      <w:r>
        <w:rPr>
          <w:rFonts w:ascii="SimSun" w:hAnsi="SimSun" w:eastAsiaTheme="minorEastAsia" w:cs="SimSun"/>
          <w:color w:val="000000"/>
          <w:spacing w:val="1"/>
          <w:sz w:val="21"/>
          <w:szCs w:val="22"/>
          <w:lang w:val="en-US" w:eastAsia="en-US" w:bidi="ar-SA"/>
        </w:rPr>
        <w:t>个月</w:t>
      </w:r>
    </w:p>
    <w:p>
      <w:pPr>
        <w:framePr w:w="1296" w:x="3963" w:y="6687"/>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预期信用损</w:t>
      </w:r>
    </w:p>
    <w:p>
      <w:pPr>
        <w:framePr w:w="1296" w:x="3963" w:y="6687"/>
        <w:widowControl w:val="0"/>
        <w:autoSpaceDE w:val="0"/>
        <w:autoSpaceDN w:val="0"/>
        <w:spacing w:before="60" w:line="211" w:lineRule="exact"/>
        <w:ind w:left="420"/>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失</w:t>
      </w:r>
    </w:p>
    <w:p>
      <w:pPr>
        <w:framePr w:w="1930" w:x="5351" w:y="6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整个存续期预期信</w:t>
      </w:r>
    </w:p>
    <w:p>
      <w:pPr>
        <w:framePr w:w="1930" w:x="5351" w:y="6687"/>
        <w:widowControl w:val="0"/>
        <w:autoSpaceDE w:val="0"/>
        <w:autoSpaceDN w:val="0"/>
        <w:spacing w:before="62"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用损失</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未发生信</w:t>
      </w:r>
    </w:p>
    <w:p>
      <w:pPr>
        <w:framePr w:w="1930" w:x="5351" w:y="6687"/>
        <w:widowControl w:val="0"/>
        <w:autoSpaceDE w:val="0"/>
        <w:autoSpaceDN w:val="0"/>
        <w:spacing w:before="60" w:line="211" w:lineRule="exact"/>
        <w:ind w:left="473"/>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用减值</w:t>
      </w:r>
      <w:r>
        <w:rPr>
          <w:rFonts w:ascii="SimSun" w:eastAsiaTheme="minorEastAsia" w:hAnsiTheme="minorHAnsi" w:cstheme="minorBidi"/>
          <w:color w:val="000000"/>
          <w:sz w:val="21"/>
          <w:szCs w:val="22"/>
          <w:lang w:val="en-US" w:eastAsia="en-US" w:bidi="ar-SA"/>
        </w:rPr>
        <w:t>)</w:t>
      </w:r>
    </w:p>
    <w:p>
      <w:pPr>
        <w:framePr w:w="2141" w:x="7372" w:y="66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整个存续期预期信用</w:t>
      </w:r>
    </w:p>
    <w:p>
      <w:pPr>
        <w:framePr w:w="2141" w:x="7372" w:y="6687"/>
        <w:widowControl w:val="0"/>
        <w:autoSpaceDE w:val="0"/>
        <w:autoSpaceDN w:val="0"/>
        <w:spacing w:before="62" w:line="211" w:lineRule="exact"/>
        <w:ind w:left="5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损失</w:t>
      </w:r>
      <w:r>
        <w:rPr>
          <w:rFonts w:ascii="SimSun"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已发生信用减</w:t>
      </w:r>
    </w:p>
    <w:p>
      <w:pPr>
        <w:framePr w:w="2141" w:x="7372" w:y="6687"/>
        <w:widowControl w:val="0"/>
        <w:autoSpaceDE w:val="0"/>
        <w:autoSpaceDN w:val="0"/>
        <w:spacing w:before="60" w:line="211" w:lineRule="exact"/>
        <w:ind w:left="79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值</w:t>
      </w:r>
      <w:r>
        <w:rPr>
          <w:rFonts w:ascii="SimSun" w:eastAsiaTheme="minorEastAsia" w:hAnsiTheme="minorHAnsi" w:cstheme="minorBidi"/>
          <w:color w:val="000000"/>
          <w:sz w:val="21"/>
          <w:szCs w:val="22"/>
          <w:lang w:val="en-US" w:eastAsia="en-US" w:bidi="ar-SA"/>
        </w:rPr>
        <w:t>)</w:t>
      </w:r>
    </w:p>
    <w:p>
      <w:pPr>
        <w:framePr w:w="662" w:x="9885" w:y="673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085" w:x="2314" w:y="68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2116" w:x="1798" w:y="7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日余额</w:t>
      </w:r>
    </w:p>
    <w:p>
      <w:pPr>
        <w:framePr w:w="2116" w:x="1798" w:y="767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2020</w:t>
      </w:r>
      <w:r>
        <w:rPr>
          <w:rFonts w:ascii="SimSun" w:hAnsi="SimSun" w:eastAsiaTheme="minorEastAsia" w:cs="SimSun"/>
          <w:color w:val="000000"/>
          <w:spacing w:val="28"/>
          <w:sz w:val="21"/>
          <w:szCs w:val="22"/>
          <w:lang w:val="en-US" w:eastAsia="en-US" w:bidi="ar-SA"/>
        </w:rPr>
        <w:t>年</w:t>
      </w:r>
      <w:r>
        <w:rPr>
          <w:rFonts w:ascii="SimSun" w:eastAsiaTheme="minorEastAsia" w:hAnsiTheme="minorHAnsi" w:cstheme="minorBidi"/>
          <w:color w:val="000000"/>
          <w:spacing w:val="27"/>
          <w:sz w:val="21"/>
          <w:szCs w:val="22"/>
          <w:lang w:val="en-US" w:eastAsia="en-US" w:bidi="ar-SA"/>
        </w:rPr>
        <w:t>1</w:t>
      </w:r>
      <w:r>
        <w:rPr>
          <w:rFonts w:ascii="SimSun" w:hAnsi="SimSun" w:eastAsiaTheme="minorEastAsia" w:cs="SimSun"/>
          <w:color w:val="000000"/>
          <w:spacing w:val="28"/>
          <w:sz w:val="21"/>
          <w:szCs w:val="22"/>
          <w:lang w:val="en-US" w:eastAsia="en-US" w:bidi="ar-SA"/>
        </w:rPr>
        <w:t>月</w:t>
      </w:r>
      <w:r>
        <w:rPr>
          <w:rFonts w:ascii="SimSun" w:eastAsiaTheme="minorEastAsia" w:hAnsiTheme="minorHAnsi" w:cstheme="minorBidi"/>
          <w:color w:val="000000"/>
          <w:spacing w:val="27"/>
          <w:sz w:val="21"/>
          <w:szCs w:val="22"/>
          <w:lang w:val="en-US" w:eastAsia="en-US" w:bidi="ar-SA"/>
        </w:rPr>
        <w:t>1</w:t>
      </w:r>
      <w:r>
        <w:rPr>
          <w:rFonts w:ascii="SimSun" w:hAnsi="SimSun" w:eastAsiaTheme="minorEastAsia" w:cs="SimSun"/>
          <w:color w:val="000000"/>
          <w:spacing w:val="29"/>
          <w:sz w:val="21"/>
          <w:szCs w:val="22"/>
          <w:lang w:val="en-US" w:eastAsia="en-US" w:bidi="ar-SA"/>
        </w:rPr>
        <w:t>日余额</w:t>
      </w:r>
    </w:p>
    <w:p>
      <w:pPr>
        <w:framePr w:w="2116" w:x="1798" w:y="7673"/>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在本期</w:t>
      </w:r>
    </w:p>
    <w:p>
      <w:pPr>
        <w:framePr w:w="1190" w:x="6131" w:y="7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22,454.90</w:t>
      </w:r>
    </w:p>
    <w:p>
      <w:pPr>
        <w:framePr w:w="1190" w:x="9686" w:y="76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22,454.90</w:t>
      </w:r>
    </w:p>
    <w:p>
      <w:pPr>
        <w:framePr w:w="1718" w:x="1798" w:y="851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转入第二阶段</w:t>
      </w:r>
    </w:p>
    <w:p>
      <w:pPr>
        <w:framePr w:w="1718" w:x="1798" w:y="85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转入第三阶段</w:t>
      </w:r>
    </w:p>
    <w:p>
      <w:pPr>
        <w:framePr w:w="1718" w:x="1798" w:y="8511"/>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转回第二阶段</w:t>
      </w:r>
    </w:p>
    <w:p>
      <w:pPr>
        <w:framePr w:w="1718" w:x="1798" w:y="85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转回第一阶段</w:t>
      </w:r>
    </w:p>
    <w:p>
      <w:pPr>
        <w:framePr w:w="1718" w:x="1798" w:y="851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本期计提</w:t>
      </w:r>
    </w:p>
    <w:p>
      <w:pPr>
        <w:framePr w:w="1085" w:x="6236" w:y="96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4,440.35</w:t>
      </w:r>
    </w:p>
    <w:p>
      <w:pPr>
        <w:framePr w:w="1085" w:x="9792" w:y="964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4,440.35</w:t>
      </w:r>
    </w:p>
    <w:p>
      <w:pPr>
        <w:framePr w:w="1085" w:x="1798" w:y="992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本期转回</w:t>
      </w:r>
    </w:p>
    <w:p>
      <w:pPr>
        <w:framePr w:w="1085" w:x="1798" w:y="102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本期转销</w:t>
      </w:r>
    </w:p>
    <w:p>
      <w:pPr>
        <w:framePr w:w="1085" w:x="1798" w:y="104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本期核销</w:t>
      </w:r>
    </w:p>
    <w:p>
      <w:pPr>
        <w:framePr w:w="1085" w:x="1798" w:y="107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2035" w:x="1798" w:y="110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2020</w:t>
      </w:r>
      <w:r>
        <w:rPr>
          <w:rFonts w:ascii="SimSun" w:hAnsi="SimSun" w:eastAsiaTheme="minorEastAsia" w:cs="SimSun"/>
          <w:color w:val="000000"/>
          <w:spacing w:val="-1"/>
          <w:sz w:val="21"/>
          <w:szCs w:val="22"/>
          <w:lang w:val="en-US" w:eastAsia="en-US" w:bidi="ar-SA"/>
        </w:rPr>
        <w:t>年</w:t>
      </w: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月</w:t>
      </w:r>
      <w:r>
        <w:rPr>
          <w:rFonts w:ascii="SimSun" w:eastAsiaTheme="minorEastAsia" w:hAnsiTheme="minorHAnsi" w:cstheme="minorBidi"/>
          <w:color w:val="000000"/>
          <w:spacing w:val="-1"/>
          <w:sz w:val="21"/>
          <w:szCs w:val="22"/>
          <w:lang w:val="en-US" w:eastAsia="en-US" w:bidi="ar-SA"/>
        </w:rPr>
        <w:t>30</w:t>
      </w:r>
      <w:r>
        <w:rPr>
          <w:rFonts w:ascii="SimSun" w:hAnsi="SimSun" w:eastAsiaTheme="minorEastAsia" w:cs="SimSun"/>
          <w:color w:val="000000"/>
          <w:sz w:val="21"/>
          <w:szCs w:val="22"/>
          <w:lang w:val="en-US" w:eastAsia="en-US" w:bidi="ar-SA"/>
        </w:rPr>
        <w:t>日余额</w:t>
      </w:r>
    </w:p>
    <w:p>
      <w:pPr>
        <w:framePr w:w="1190" w:x="6131" w:y="110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26,895.25</w:t>
      </w:r>
    </w:p>
    <w:p>
      <w:pPr>
        <w:framePr w:w="1190" w:x="9686" w:y="110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26,895.25</w:t>
      </w:r>
    </w:p>
    <w:p>
      <w:pPr>
        <w:framePr w:w="6787" w:x="1798" w:y="116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对本期发生损失准备变动的其他应收款账面余额显著变动的情况说明：</w:t>
      </w:r>
    </w:p>
    <w:p>
      <w:pPr>
        <w:framePr w:w="6787" w:x="1798" w:y="11607"/>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7632" w:x="1798" w:y="1256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本期坏账准备计提金额以及评估金融工具的信用风险是否显著增加的采用依据：</w:t>
      </w:r>
    </w:p>
    <w:p>
      <w:pPr>
        <w:framePr w:w="7632" w:x="1798" w:y="1256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146" w:x="1798" w:y="135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(4).</w:t>
      </w:r>
      <w:r>
        <w:rPr>
          <w:rFonts w:ascii="SimSun" w:hAnsi="SimSun" w:eastAsiaTheme="minorEastAsia" w:cs="SimSun"/>
          <w:color w:val="000000"/>
          <w:spacing w:val="1"/>
          <w:sz w:val="21"/>
          <w:szCs w:val="22"/>
          <w:lang w:val="en-US" w:eastAsia="en-US" w:bidi="ar-SA"/>
        </w:rPr>
        <w:t>坏账准备的情况</w:t>
      </w:r>
    </w:p>
    <w:p>
      <w:pPr>
        <w:framePr w:w="1817" w:x="1798" w:y="1390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1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14178"/>
        <w:widowControl w:val="0"/>
        <w:autoSpaceDE w:val="0"/>
        <w:autoSpaceDN w:val="0"/>
        <w:spacing w:before="350" w:line="211" w:lineRule="exact"/>
        <w:ind w:left="1364"/>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925" w:x="5850" w:y="14461"/>
        <w:widowControl w:val="0"/>
        <w:autoSpaceDE w:val="0"/>
        <w:autoSpaceDN w:val="0"/>
        <w:spacing w:line="211" w:lineRule="exact"/>
        <w:ind w:left="422"/>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本期变动金额</w:t>
      </w:r>
    </w:p>
    <w:p>
      <w:pPr>
        <w:framePr w:w="1925" w:x="5850" w:y="14461"/>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收回或转</w:t>
      </w:r>
    </w:p>
    <w:p>
      <w:pPr>
        <w:framePr w:w="662" w:x="1824" w:y="14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p>
    <w:p>
      <w:pPr>
        <w:framePr w:w="1085" w:x="3315" w:y="1474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662" w:x="4794" w:y="14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计提</w:t>
      </w:r>
    </w:p>
    <w:p>
      <w:pPr>
        <w:framePr w:w="1296" w:x="7000" w:y="14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转销或核销</w:t>
      </w:r>
    </w:p>
    <w:p>
      <w:pPr>
        <w:framePr w:w="1085" w:x="8509" w:y="14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其他变动</w:t>
      </w:r>
    </w:p>
    <w:p>
      <w:pPr>
        <w:framePr w:w="451" w:x="6164" w:y="15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回</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143</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54" type="#_x0000_t75" style="width:445.6pt;height:2.7pt;margin-top:53.65pt;margin-left:87.45pt;mso-position-horizontal-relative:page;mso-position-vertical-relative:page;position:absolute;z-index:-251302912">
            <v:imagedata r:id="rId287" o:title=""/>
          </v:shape>
        </w:pict>
      </w:r>
      <w:r>
        <w:rPr>
          <w:noProof/>
        </w:rPr>
        <w:pict>
          <v:shape id="_x0000_s1355" type="#_x0000_t75" style="width:454.95pt;height:16.65pt;margin-top:74.3pt;margin-left:83.25pt;mso-position-horizontal-relative:page;mso-position-vertical-relative:page;position:absolute;z-index:-251313152">
            <v:imagedata r:id="rId288" o:title=""/>
          </v:shape>
        </w:pict>
      </w:r>
      <w:r>
        <w:rPr>
          <w:noProof/>
        </w:rPr>
        <w:pict>
          <v:shape id="_x0000_s1356" type="#_x0000_t75" style="width:454.95pt;height:101.35pt;margin-top:149.4pt;margin-left:83.25pt;mso-position-horizontal-relative:page;mso-position-vertical-relative:page;position:absolute;z-index:-251345920">
            <v:imagedata r:id="rId289" o:title=""/>
          </v:shape>
        </w:pict>
      </w:r>
      <w:r>
        <w:rPr>
          <w:noProof/>
        </w:rPr>
        <w:pict>
          <v:shape id="_x0000_s1357" type="#_x0000_t75" style="width:454.95pt;height:257pt;margin-top:309.3pt;margin-left:83.25pt;mso-position-horizontal-relative:page;mso-position-vertical-relative:page;position:absolute;z-index:-251408384">
            <v:imagedata r:id="rId290" o:title=""/>
          </v:shape>
        </w:pict>
      </w:r>
      <w:r>
        <w:rPr>
          <w:noProof/>
        </w:rPr>
        <w:pict>
          <v:shape id="_x0000_s1358" type="#_x0000_t75" style="width:492.55pt;height:44.35pt;margin-top:720.1pt;margin-left:46.05pt;mso-position-horizontal-relative:page;mso-position-vertical-relative:page;position:absolute;z-index:-251512832">
            <v:imagedata r:id="rId291" o:title=""/>
          </v:shape>
        </w:pict>
      </w:r>
    </w:p>
    <w:p>
      <w:pPr>
        <w:spacing w:line="0" w:lineRule="atLeast"/>
        <w:rPr>
          <w:rFonts w:ascii="Arial" w:eastAsiaTheme="minorEastAsia" w:hAnsiTheme="minorHAnsi" w:cstheme="minorBidi"/>
          <w:color w:val="FF0000"/>
          <w:sz w:val="2"/>
          <w:szCs w:val="22"/>
          <w:lang w:val="en-US" w:eastAsia="en-US" w:bidi="ar-SA"/>
        </w:rPr>
      </w:pPr>
      <w:bookmarkStart w:id="143" w:name="br1_142"/>
      <w:bookmarkEnd w:id="143"/>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3416" w:x="105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其他应收款坏账准备</w:t>
      </w:r>
      <w:r>
        <w:rPr>
          <w:rFonts w:eastAsiaTheme="minorEastAsia" w:hAnsiTheme="minorHAnsi" w:cstheme="minorBidi"/>
          <w:color w:val="000000"/>
          <w:spacing w:val="28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22,454.90</w:t>
      </w:r>
    </w:p>
    <w:p>
      <w:pPr>
        <w:framePr w:w="3416" w:x="1058" w:y="1547"/>
        <w:widowControl w:val="0"/>
        <w:autoSpaceDE w:val="0"/>
        <w:autoSpaceDN w:val="0"/>
        <w:spacing w:before="70" w:line="211" w:lineRule="exact"/>
        <w:ind w:left="766"/>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98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22,454.90</w:t>
      </w:r>
    </w:p>
    <w:p>
      <w:pPr>
        <w:framePr w:w="1085" w:x="4710"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4,440.35</w:t>
      </w:r>
    </w:p>
    <w:p>
      <w:pPr>
        <w:framePr w:w="1085" w:x="4710"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4,440.35</w:t>
      </w:r>
    </w:p>
    <w:p>
      <w:pPr>
        <w:framePr w:w="1190" w:x="9688" w:y="154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26,895.25</w:t>
      </w:r>
    </w:p>
    <w:p>
      <w:pPr>
        <w:framePr w:w="1190" w:x="9688" w:y="1547"/>
        <w:widowControl w:val="0"/>
        <w:autoSpaceDE w:val="0"/>
        <w:autoSpaceDN w:val="0"/>
        <w:spacing w:before="70"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26,895.25</w:t>
      </w:r>
    </w:p>
    <w:p>
      <w:pPr>
        <w:framePr w:w="4253" w:x="1798" w:y="211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其中本期坏账准备转回或收回金额重要的：</w:t>
      </w:r>
    </w:p>
    <w:p>
      <w:pPr>
        <w:framePr w:w="1817" w:x="1798" w:y="25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619" w:x="1798" w:y="31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本期实际核销的其他应收款情况</w:t>
      </w:r>
    </w:p>
    <w:p>
      <w:pPr>
        <w:framePr w:w="1817" w:x="1798" w:y="35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352" w:x="1798" w:y="40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其他应收款核销说明：</w:t>
      </w:r>
    </w:p>
    <w:p>
      <w:pPr>
        <w:framePr w:w="2352" w:x="1798" w:y="4000"/>
        <w:widowControl w:val="0"/>
        <w:autoSpaceDE w:val="0"/>
        <w:autoSpaceDN w:val="0"/>
        <w:spacing w:before="199"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50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(6).</w:t>
      </w:r>
      <w:r>
        <w:rPr>
          <w:rFonts w:ascii="SimSun" w:hAnsi="SimSun" w:eastAsiaTheme="minorEastAsia" w:cs="SimSun"/>
          <w:color w:val="000000"/>
          <w:spacing w:val="1"/>
          <w:sz w:val="21"/>
          <w:szCs w:val="22"/>
          <w:lang w:val="en-US" w:eastAsia="en-US" w:bidi="ar-SA"/>
        </w:rPr>
        <w:t>按欠款方归集的期末余额前五名的其他应收款情况</w:t>
      </w:r>
    </w:p>
    <w:p>
      <w:pPr>
        <w:framePr w:w="1817" w:x="1798" w:y="54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5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718" w:x="7477" w:y="60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占其他应收款期</w:t>
      </w:r>
    </w:p>
    <w:p>
      <w:pPr>
        <w:framePr w:w="1085" w:x="9441" w:y="618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坏账准备</w:t>
      </w:r>
    </w:p>
    <w:p>
      <w:pPr>
        <w:framePr w:w="1085" w:x="9441" w:y="618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2026"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085" w:x="2026" w:y="6317"/>
        <w:widowControl w:val="0"/>
        <w:autoSpaceDE w:val="0"/>
        <w:autoSpaceDN w:val="0"/>
        <w:spacing w:before="348" w:line="211" w:lineRule="exact"/>
        <w:ind w:left="103"/>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单位一</w:t>
      </w:r>
    </w:p>
    <w:p>
      <w:pPr>
        <w:framePr w:w="1296" w:x="3305"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款项的性质</w:t>
      </w:r>
    </w:p>
    <w:p>
      <w:pPr>
        <w:framePr w:w="1085" w:x="4856"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662" w:x="6496"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账龄</w:t>
      </w:r>
    </w:p>
    <w:p>
      <w:pPr>
        <w:framePr w:w="1718" w:x="7477" w:y="6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末余额合计数的</w:t>
      </w:r>
    </w:p>
    <w:p>
      <w:pPr>
        <w:framePr w:w="1718" w:x="7477" w:y="6317"/>
        <w:widowControl w:val="0"/>
        <w:autoSpaceDE w:val="0"/>
        <w:autoSpaceDN w:val="0"/>
        <w:spacing w:before="60" w:line="211" w:lineRule="exact"/>
        <w:ind w:left="370"/>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r>
        <w:rPr>
          <w:rFonts w:ascii="SimSun" w:eastAsiaTheme="minorEastAsia" w:hAnsiTheme="minorHAnsi" w:cstheme="minorBidi"/>
          <w:color w:val="000000"/>
          <w:spacing w:val="-1"/>
          <w:sz w:val="21"/>
          <w:szCs w:val="22"/>
          <w:lang w:val="en-US" w:eastAsia="en-US" w:bidi="ar-SA"/>
        </w:rPr>
        <w:t>(%)</w:t>
      </w:r>
    </w:p>
    <w:p>
      <w:pPr>
        <w:framePr w:w="3915" w:x="3260" w:y="68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合并范围内</w:t>
      </w:r>
      <w:r>
        <w:rPr>
          <w:rFonts w:eastAsiaTheme="minorEastAsia" w:hAnsiTheme="minorHAnsi" w:cstheme="minorBidi"/>
          <w:color w:val="000000"/>
          <w:spacing w:val="17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312,270,036.14</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768" w:x="8502" w:y="687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99.38</w:t>
      </w:r>
    </w:p>
    <w:p>
      <w:pPr>
        <w:framePr w:w="1296" w:x="3260" w:y="71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关联方往来</w:t>
      </w:r>
    </w:p>
    <w:p>
      <w:pPr>
        <w:framePr w:w="874" w:x="2129" w:y="7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单位二</w:t>
      </w:r>
    </w:p>
    <w:p>
      <w:pPr>
        <w:framePr w:w="1296" w:x="3260" w:y="7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合并范围内</w:t>
      </w:r>
    </w:p>
    <w:p>
      <w:pPr>
        <w:framePr w:w="1296" w:x="3260" w:y="7435"/>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关联方往来</w:t>
      </w:r>
    </w:p>
    <w:p>
      <w:pPr>
        <w:framePr w:w="1296" w:x="3260" w:y="743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296" w:x="3260" w:y="743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代垫款</w:t>
      </w:r>
    </w:p>
    <w:p>
      <w:pPr>
        <w:framePr w:w="1296" w:x="3260" w:y="743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暂借款</w:t>
      </w:r>
    </w:p>
    <w:p>
      <w:pPr>
        <w:framePr w:w="1296" w:x="3260" w:y="7435"/>
        <w:widowControl w:val="0"/>
        <w:autoSpaceDE w:val="0"/>
        <w:autoSpaceDN w:val="0"/>
        <w:spacing w:before="74" w:line="211" w:lineRule="exact"/>
        <w:ind w:left="518"/>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2213" w:x="4753" w:y="743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1,600,000.00</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年</w:t>
      </w:r>
    </w:p>
    <w:p>
      <w:pPr>
        <w:framePr w:w="662" w:x="8608" w:y="743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0.51</w:t>
      </w:r>
    </w:p>
    <w:p>
      <w:pPr>
        <w:framePr w:w="874" w:x="2129" w:y="79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单位三</w:t>
      </w:r>
    </w:p>
    <w:p>
      <w:pPr>
        <w:framePr w:w="874" w:x="2129" w:y="799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单位四</w:t>
      </w:r>
    </w:p>
    <w:p>
      <w:pPr>
        <w:framePr w:w="874" w:x="2129" w:y="7995"/>
        <w:widowControl w:val="0"/>
        <w:autoSpaceDE w:val="0"/>
        <w:autoSpaceDN w:val="0"/>
        <w:spacing w:before="7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单位五</w:t>
      </w:r>
    </w:p>
    <w:p>
      <w:pPr>
        <w:framePr w:w="874" w:x="2129" w:y="7995"/>
        <w:widowControl w:val="0"/>
        <w:autoSpaceDE w:val="0"/>
        <w:autoSpaceDN w:val="0"/>
        <w:spacing w:before="74"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213" w:x="4962" w:y="799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124,206.95</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213" w:x="4962" w:y="7995"/>
        <w:widowControl w:val="0"/>
        <w:autoSpaceDE w:val="0"/>
        <w:autoSpaceDN w:val="0"/>
        <w:spacing w:before="77"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59,347.50</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2213" w:x="4962" w:y="7995"/>
        <w:widowControl w:val="0"/>
        <w:autoSpaceDE w:val="0"/>
        <w:autoSpaceDN w:val="0"/>
        <w:spacing w:before="77" w:line="211" w:lineRule="exact"/>
        <w:ind w:left="106"/>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50,000.00</w:t>
      </w:r>
      <w:r>
        <w:rPr>
          <w:rFonts w:ascii="SimSun" w:eastAsiaTheme="minorEastAsia" w:hAnsiTheme="minorHAnsi" w:cstheme="minorBidi"/>
          <w:color w:val="000000"/>
          <w:spacing w:val="25"/>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年以内</w:t>
      </w:r>
    </w:p>
    <w:p>
      <w:pPr>
        <w:framePr w:w="662" w:x="8608" w:y="79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0.04</w:t>
      </w:r>
    </w:p>
    <w:p>
      <w:pPr>
        <w:framePr w:w="662" w:x="8608" w:y="7995"/>
        <w:widowControl w:val="0"/>
        <w:autoSpaceDE w:val="0"/>
        <w:autoSpaceDN w:val="0"/>
        <w:spacing w:before="77"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0.02</w:t>
      </w:r>
    </w:p>
    <w:p>
      <w:pPr>
        <w:framePr w:w="1085" w:x="9792" w:y="7995"/>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6,210.35</w:t>
      </w:r>
    </w:p>
    <w:p>
      <w:pPr>
        <w:framePr w:w="1190" w:x="9686" w:y="8283"/>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2,967.38</w:t>
      </w:r>
    </w:p>
    <w:p>
      <w:pPr>
        <w:framePr w:w="1190" w:x="9686" w:y="8283"/>
        <w:widowControl w:val="0"/>
        <w:autoSpaceDE w:val="0"/>
        <w:autoSpaceDN w:val="0"/>
        <w:spacing w:before="77"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2,500.00</w:t>
      </w:r>
    </w:p>
    <w:p>
      <w:pPr>
        <w:framePr w:w="1190" w:x="9686" w:y="8283"/>
        <w:widowControl w:val="0"/>
        <w:autoSpaceDE w:val="0"/>
        <w:autoSpaceDN w:val="0"/>
        <w:spacing w:before="74"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11,677.73</w:t>
      </w:r>
    </w:p>
    <w:p>
      <w:pPr>
        <w:framePr w:w="662" w:x="8608" w:y="8571"/>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0.02</w:t>
      </w:r>
    </w:p>
    <w:p>
      <w:pPr>
        <w:framePr w:w="1718" w:x="4542" w:y="88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314,103,590.59</w:t>
      </w:r>
    </w:p>
    <w:p>
      <w:pPr>
        <w:framePr w:w="346" w:x="6652" w:y="88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w:t>
      </w:r>
    </w:p>
    <w:p>
      <w:pPr>
        <w:framePr w:w="768" w:x="8502" w:y="885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99.97</w:t>
      </w:r>
    </w:p>
    <w:p>
      <w:pPr>
        <w:framePr w:w="2988" w:x="1798" w:y="947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(7).</w:t>
      </w:r>
      <w:r>
        <w:rPr>
          <w:rFonts w:ascii="SimSun" w:hAnsi="SimSun" w:eastAsiaTheme="minorEastAsia" w:cs="SimSun"/>
          <w:color w:val="000000"/>
          <w:spacing w:val="1"/>
          <w:sz w:val="21"/>
          <w:szCs w:val="22"/>
          <w:lang w:val="en-US" w:eastAsia="en-US" w:bidi="ar-SA"/>
        </w:rPr>
        <w:t>涉及政府补助的应收款项</w:t>
      </w:r>
    </w:p>
    <w:p>
      <w:pPr>
        <w:framePr w:w="1817" w:x="1798" w:y="994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4464" w:x="1798" w:y="1055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(8).</w:t>
      </w:r>
      <w:r>
        <w:rPr>
          <w:rFonts w:ascii="SimSun" w:hAnsi="SimSun" w:eastAsiaTheme="minorEastAsia" w:cs="SimSun"/>
          <w:color w:val="000000"/>
          <w:spacing w:val="1"/>
          <w:sz w:val="21"/>
          <w:szCs w:val="22"/>
          <w:lang w:val="en-US" w:eastAsia="en-US" w:bidi="ar-SA"/>
        </w:rPr>
        <w:t>因金融资产转移而终止确认的其他应收款</w:t>
      </w:r>
    </w:p>
    <w:p>
      <w:pPr>
        <w:framePr w:w="1817" w:x="1798" w:y="1101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5309" w:x="1798" w:y="116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2"/>
          <w:sz w:val="21"/>
          <w:szCs w:val="22"/>
          <w:lang w:val="en-US" w:eastAsia="en-US" w:bidi="ar-SA"/>
        </w:rPr>
        <w:t>(9).</w:t>
      </w:r>
      <w:r>
        <w:rPr>
          <w:rFonts w:ascii="SimSun" w:hAnsi="SimSun" w:eastAsiaTheme="minorEastAsia" w:cs="SimSun"/>
          <w:color w:val="000000"/>
          <w:spacing w:val="1"/>
          <w:sz w:val="21"/>
          <w:szCs w:val="22"/>
          <w:lang w:val="en-US" w:eastAsia="en-US" w:bidi="ar-SA"/>
        </w:rPr>
        <w:t>转移其他应收款且继续涉入形成的资产、负债金额</w:t>
      </w:r>
    </w:p>
    <w:p>
      <w:pPr>
        <w:framePr w:w="1817" w:x="1798" w:y="1209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26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130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32" w:x="1798" w:y="1365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长期股权投资</w:t>
      </w:r>
    </w:p>
    <w:p>
      <w:pPr>
        <w:framePr w:w="1817" w:x="1798" w:y="1398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142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1085" w:x="4844" w:y="14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085" w:x="8440" w:y="145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8440" w:y="14543"/>
        <w:widowControl w:val="0"/>
        <w:autoSpaceDE w:val="0"/>
        <w:autoSpaceDN w:val="0"/>
        <w:spacing w:before="77"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w:t>
      </w:r>
    </w:p>
    <w:p>
      <w:pPr>
        <w:framePr w:w="662" w:x="2211" w:y="1482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5055" w:y="1483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w:t>
      </w:r>
    </w:p>
    <w:p>
      <w:pPr>
        <w:framePr w:w="662" w:x="5055" w:y="14831"/>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1085" w:x="3816" w:y="14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5871" w:y="14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1085" w:x="7403" w:y="14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账面余额</w:t>
      </w:r>
    </w:p>
    <w:p>
      <w:pPr>
        <w:framePr w:w="1085" w:x="9477" w:y="1496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账面价值</w:t>
      </w:r>
    </w:p>
    <w:p>
      <w:pPr>
        <w:framePr w:w="662" w:x="8651" w:y="15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144</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59" type="#_x0000_t75" style="width:445.6pt;height:2.7pt;margin-top:53.65pt;margin-left:87.45pt;mso-position-horizontal-relative:page;mso-position-vertical-relative:page;position:absolute;z-index:-251312128">
            <v:imagedata r:id="rId292" o:title=""/>
          </v:shape>
        </w:pict>
      </w:r>
      <w:r>
        <w:rPr>
          <w:noProof/>
        </w:rPr>
        <w:pict>
          <v:shape id="_x0000_s1360" type="#_x0000_t75" style="width:492.55pt;height:30.8pt;margin-top:74.3pt;margin-left:46.05pt;mso-position-horizontal-relative:page;mso-position-vertical-relative:page;position:absolute;z-index:-251344896">
            <v:imagedata r:id="rId293" o:title=""/>
          </v:shape>
        </w:pict>
      </w:r>
      <w:r>
        <w:rPr>
          <w:noProof/>
        </w:rPr>
        <w:pict>
          <v:shape id="_x0000_s1361" type="#_x0000_t75" style="width:447.5pt;height:157.8pt;margin-top:298.95pt;margin-left:87pt;mso-position-horizontal-relative:page;mso-position-vertical-relative:page;position:absolute;z-index:-251407360">
            <v:imagedata r:id="rId294" o:title=""/>
          </v:shape>
        </w:pict>
      </w:r>
      <w:r>
        <w:rPr>
          <w:noProof/>
        </w:rPr>
        <w:pict>
          <v:shape id="_x0000_s1362" type="#_x0000_t75" style="width:467.3pt;height:45.1pt;margin-top:723.95pt;margin-left:67.2pt;mso-position-horizontal-relative:page;mso-position-vertical-relative:page;position:absolute;z-index:-251511808">
            <v:imagedata r:id="rId295" o:title=""/>
          </v:shape>
        </w:pict>
      </w:r>
    </w:p>
    <w:p>
      <w:pPr>
        <w:spacing w:line="0" w:lineRule="atLeast"/>
        <w:rPr>
          <w:rFonts w:ascii="Arial" w:eastAsiaTheme="minorEastAsia" w:hAnsiTheme="minorHAnsi" w:cstheme="minorBidi"/>
          <w:color w:val="FF0000"/>
          <w:sz w:val="2"/>
          <w:szCs w:val="22"/>
          <w:lang w:val="en-US" w:eastAsia="en-US" w:bidi="ar-SA"/>
        </w:rPr>
      </w:pPr>
      <w:bookmarkStart w:id="144" w:name="br1_143"/>
      <w:bookmarkEnd w:id="144"/>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2352" w:x="1402" w:y="155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对子公司投资</w:t>
      </w:r>
    </w:p>
    <w:p>
      <w:pPr>
        <w:framePr w:w="2352" w:x="1402" w:y="1553"/>
        <w:widowControl w:val="0"/>
        <w:autoSpaceDE w:val="0"/>
        <w:autoSpaceDN w:val="0"/>
        <w:spacing w:before="74"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对联营、合营企业投资</w:t>
      </w:r>
    </w:p>
    <w:p>
      <w:pPr>
        <w:framePr w:w="2352" w:x="1402" w:y="1553"/>
        <w:widowControl w:val="0"/>
        <w:autoSpaceDE w:val="0"/>
        <w:autoSpaceDN w:val="0"/>
        <w:spacing w:before="77" w:line="211" w:lineRule="exact"/>
        <w:ind w:left="80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3502"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3502" w:y="1553"/>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3245" w:x="5557"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456,866,171.33</w:t>
      </w:r>
    </w:p>
    <w:p>
      <w:pPr>
        <w:framePr w:w="3245" w:x="5557" w:y="1553"/>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r>
        <w:rPr>
          <w:rFonts w:ascii="SimSun" w:eastAsiaTheme="minorEastAsia" w:hAnsiTheme="minorHAnsi" w:cstheme="minorBidi"/>
          <w:color w:val="000000"/>
          <w:spacing w:val="-4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456,866,171.33</w:t>
      </w:r>
    </w:p>
    <w:p>
      <w:pPr>
        <w:framePr w:w="1718" w:x="9163" w:y="155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9163" w:y="1553"/>
        <w:widowControl w:val="0"/>
        <w:autoSpaceDE w:val="0"/>
        <w:autoSpaceDN w:val="0"/>
        <w:spacing w:before="36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932" w:x="1798" w:y="274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对子公司投资</w:t>
      </w:r>
    </w:p>
    <w:p>
      <w:pPr>
        <w:framePr w:w="1817" w:x="1798" w:y="321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34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874" w:x="8872" w:y="3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本期计</w:t>
      </w:r>
    </w:p>
    <w:p>
      <w:pPr>
        <w:framePr w:w="874" w:x="8872" w:y="377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提减值</w:t>
      </w:r>
    </w:p>
    <w:p>
      <w:pPr>
        <w:framePr w:w="874" w:x="8872" w:y="3770"/>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准备</w:t>
      </w:r>
    </w:p>
    <w:p>
      <w:pPr>
        <w:framePr w:w="874" w:x="9907" w:y="37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减值准</w:t>
      </w:r>
    </w:p>
    <w:p>
      <w:pPr>
        <w:framePr w:w="874" w:x="9907" w:y="3770"/>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备期末</w:t>
      </w:r>
    </w:p>
    <w:p>
      <w:pPr>
        <w:framePr w:w="874" w:x="9907" w:y="3770"/>
        <w:widowControl w:val="0"/>
        <w:autoSpaceDE w:val="0"/>
        <w:autoSpaceDN w:val="0"/>
        <w:spacing w:before="62" w:line="211" w:lineRule="exact"/>
        <w:ind w:left="1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余额</w:t>
      </w:r>
    </w:p>
    <w:p>
      <w:pPr>
        <w:framePr w:w="874" w:x="5168" w:y="3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本期增</w:t>
      </w:r>
    </w:p>
    <w:p>
      <w:pPr>
        <w:framePr w:w="874" w:x="5168" w:y="3904"/>
        <w:widowControl w:val="0"/>
        <w:autoSpaceDE w:val="0"/>
        <w:autoSpaceDN w:val="0"/>
        <w:spacing w:before="62" w:line="211" w:lineRule="exact"/>
        <w:ind w:left="209"/>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w:t>
      </w:r>
    </w:p>
    <w:p>
      <w:pPr>
        <w:framePr w:w="874" w:x="6152" w:y="390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本期减</w:t>
      </w:r>
    </w:p>
    <w:p>
      <w:pPr>
        <w:framePr w:w="874" w:x="6152" w:y="3904"/>
        <w:widowControl w:val="0"/>
        <w:autoSpaceDE w:val="0"/>
        <w:autoSpaceDN w:val="0"/>
        <w:spacing w:before="62" w:line="211" w:lineRule="exact"/>
        <w:ind w:left="211"/>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w:t>
      </w:r>
    </w:p>
    <w:p>
      <w:pPr>
        <w:framePr w:w="1296" w:x="1983" w:y="4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被投资单位</w:t>
      </w:r>
    </w:p>
    <w:p>
      <w:pPr>
        <w:framePr w:w="1085" w:x="3747" w:y="4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期初余额</w:t>
      </w:r>
    </w:p>
    <w:p>
      <w:pPr>
        <w:framePr w:w="1085" w:x="7410" w:y="404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期末余额</w:t>
      </w:r>
    </w:p>
    <w:p>
      <w:pPr>
        <w:framePr w:w="1507" w:x="1798" w:y="459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潍坊先达</w:t>
      </w:r>
    </w:p>
    <w:p>
      <w:pPr>
        <w:framePr w:w="1507" w:x="1798" w:y="459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济南先达</w:t>
      </w:r>
    </w:p>
    <w:p>
      <w:pPr>
        <w:framePr w:w="1507" w:x="1798" w:y="4596"/>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辽宁先达</w:t>
      </w:r>
    </w:p>
    <w:p>
      <w:pPr>
        <w:framePr w:w="1507" w:x="1798" w:y="4596"/>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济南瑞斯邦</w:t>
      </w:r>
    </w:p>
    <w:p>
      <w:pPr>
        <w:framePr w:w="1507" w:x="1798" w:y="4596"/>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博兴县盛信达</w:t>
      </w:r>
    </w:p>
    <w:p>
      <w:pPr>
        <w:framePr w:w="1507" w:x="1798" w:y="4596"/>
        <w:widowControl w:val="0"/>
        <w:autoSpaceDE w:val="0"/>
        <w:autoSpaceDN w:val="0"/>
        <w:spacing w:before="70" w:line="211" w:lineRule="exact"/>
        <w:ind w:left="499"/>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718" w:x="3432" w:y="45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153,956,226.18</w:t>
      </w:r>
    </w:p>
    <w:p>
      <w:pPr>
        <w:framePr w:w="1718" w:x="3432" w:y="4596"/>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1,537,683.12</w:t>
      </w:r>
    </w:p>
    <w:p>
      <w:pPr>
        <w:framePr w:w="1718" w:x="3432" w:y="4596"/>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300,072,262.03</w:t>
      </w:r>
    </w:p>
    <w:p>
      <w:pPr>
        <w:framePr w:w="1718" w:x="3432" w:y="4596"/>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1,000,000.00</w:t>
      </w:r>
    </w:p>
    <w:p>
      <w:pPr>
        <w:framePr w:w="1718" w:x="3432" w:y="4596"/>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300,000.00</w:t>
      </w:r>
    </w:p>
    <w:p>
      <w:pPr>
        <w:framePr w:w="1718" w:x="7096" w:y="4596"/>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153,956,226.18</w:t>
      </w:r>
    </w:p>
    <w:p>
      <w:pPr>
        <w:framePr w:w="1718" w:x="7096" w:y="4596"/>
        <w:widowControl w:val="0"/>
        <w:autoSpaceDE w:val="0"/>
        <w:autoSpaceDN w:val="0"/>
        <w:spacing w:before="72"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1,537,683.12</w:t>
      </w:r>
    </w:p>
    <w:p>
      <w:pPr>
        <w:framePr w:w="1718" w:x="7096" w:y="4596"/>
        <w:widowControl w:val="0"/>
        <w:autoSpaceDE w:val="0"/>
        <w:autoSpaceDN w:val="0"/>
        <w:spacing w:before="73"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300,072,262.03</w:t>
      </w:r>
    </w:p>
    <w:p>
      <w:pPr>
        <w:framePr w:w="1718" w:x="7096" w:y="4596"/>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1,000,000.00</w:t>
      </w:r>
    </w:p>
    <w:p>
      <w:pPr>
        <w:framePr w:w="1718" w:x="7096" w:y="4596"/>
        <w:widowControl w:val="0"/>
        <w:autoSpaceDE w:val="0"/>
        <w:autoSpaceDN w:val="0"/>
        <w:spacing w:before="72" w:line="211" w:lineRule="exact"/>
        <w:ind w:left="420"/>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300,000.00</w:t>
      </w:r>
    </w:p>
    <w:p>
      <w:pPr>
        <w:framePr w:w="1718" w:x="3432" w:y="60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1718" w:x="7096" w:y="600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456,866,171.33</w:t>
      </w:r>
    </w:p>
    <w:p>
      <w:pPr>
        <w:framePr w:w="2774" w:x="1798" w:y="66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对联营、合营企业投资</w:t>
      </w:r>
    </w:p>
    <w:p>
      <w:pPr>
        <w:framePr w:w="1817" w:x="1798" w:y="69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73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817" w:x="1798" w:y="777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089" w:x="1798" w:y="837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营业收入和营业成本</w:t>
      </w:r>
    </w:p>
    <w:p>
      <w:pPr>
        <w:framePr w:w="3089" w:x="1798" w:y="8376"/>
        <w:widowControl w:val="0"/>
        <w:autoSpaceDE w:val="0"/>
        <w:autoSpaceDN w:val="0"/>
        <w:spacing w:before="123"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营业收入和营业成本情况</w:t>
      </w:r>
    </w:p>
    <w:p>
      <w:pPr>
        <w:framePr w:w="3089" w:x="1798" w:y="8376"/>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3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9315"/>
        <w:widowControl w:val="0"/>
        <w:autoSpaceDE w:val="0"/>
        <w:autoSpaceDN w:val="0"/>
        <w:spacing w:before="72" w:line="211" w:lineRule="exact"/>
        <w:ind w:left="206"/>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1296" w:x="5154" w:y="959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662" w:x="2631" w:y="97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4628" w:y="9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6315" w:y="9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662" w:x="8001" w:y="9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收入</w:t>
      </w:r>
    </w:p>
    <w:p>
      <w:pPr>
        <w:framePr w:w="662" w:x="9688" w:y="987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成本</w:t>
      </w:r>
    </w:p>
    <w:p>
      <w:pPr>
        <w:framePr w:w="1085" w:x="1798" w:y="101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主营业务</w:t>
      </w:r>
    </w:p>
    <w:p>
      <w:pPr>
        <w:framePr w:w="1085" w:x="1798" w:y="1016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其他业务</w:t>
      </w:r>
    </w:p>
    <w:p>
      <w:pPr>
        <w:framePr w:w="6774" w:x="4103" w:y="1016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611,999,462.02</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503,548,516.16</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673,530,061.30</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492,879,146.27</w:t>
      </w:r>
    </w:p>
    <w:p>
      <w:pPr>
        <w:framePr w:w="6774" w:x="4103" w:y="10162"/>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35,327,241.25</w:t>
      </w:r>
      <w:r>
        <w:rPr>
          <w:rFonts w:ascii="SimSun" w:eastAsiaTheme="minorEastAsia" w:hAnsiTheme="minorHAnsi" w:cstheme="minorBidi"/>
          <w:color w:val="000000"/>
          <w:spacing w:val="214"/>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46,497,997.42</w:t>
      </w:r>
      <w:r>
        <w:rPr>
          <w:rFonts w:ascii="SimSun" w:eastAsiaTheme="minorEastAsia" w:hAnsiTheme="minorHAnsi" w:cstheme="minorBidi"/>
          <w:color w:val="000000"/>
          <w:spacing w:val="212"/>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21,102,863.14</w:t>
      </w:r>
      <w:r>
        <w:rPr>
          <w:rFonts w:ascii="SimSun" w:eastAsiaTheme="minorEastAsia" w:hAnsiTheme="minorHAnsi" w:cstheme="minorBidi"/>
          <w:color w:val="000000"/>
          <w:spacing w:val="215"/>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20,342,845.86</w:t>
      </w:r>
    </w:p>
    <w:p>
      <w:pPr>
        <w:framePr w:w="6774" w:x="4103" w:y="10162"/>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647,326,703.27</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550,046,513.58</w:t>
      </w:r>
      <w:r>
        <w:rPr>
          <w:rFonts w:ascii="SimSun" w:eastAsiaTheme="minorEastAsia" w:hAnsiTheme="minorHAnsi" w:cstheme="minorBidi"/>
          <w:color w:val="000000"/>
          <w:spacing w:val="107"/>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694,632,924.44</w:t>
      </w:r>
      <w:r>
        <w:rPr>
          <w:rFonts w:ascii="SimSun" w:eastAsiaTheme="minorEastAsia" w:hAnsiTheme="minorHAnsi" w:cstheme="minorBidi"/>
          <w:color w:val="000000"/>
          <w:spacing w:val="109"/>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513,221,992.13</w:t>
      </w:r>
    </w:p>
    <w:p>
      <w:pPr>
        <w:framePr w:w="662" w:x="2631" w:y="1072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2669" w:x="1798" w:y="114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合同产生的收入情况</w:t>
      </w:r>
    </w:p>
    <w:p>
      <w:pPr>
        <w:framePr w:w="1817" w:x="1798" w:y="1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246" w:x="1798" w:y="1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履约义务的说明</w:t>
      </w:r>
    </w:p>
    <w:p>
      <w:pPr>
        <w:framePr w:w="1817" w:x="1798" w:y="1294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298" w:x="1798" w:y="136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分摊至剩余履约义务的说明</w:t>
      </w:r>
    </w:p>
    <w:p>
      <w:pPr>
        <w:framePr w:w="1817" w:x="1798" w:y="1407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296" w:x="1798" w:y="14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1296" w:x="1798" w:y="14742"/>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145</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63" type="#_x0000_t75" style="width:445.6pt;height:2.7pt;margin-top:53.65pt;margin-left:87.45pt;mso-position-horizontal-relative:page;mso-position-vertical-relative:page;position:absolute;z-index:-251311104">
            <v:imagedata r:id="rId296" o:title=""/>
          </v:shape>
        </w:pict>
      </w:r>
      <w:r>
        <w:rPr>
          <w:noProof/>
        </w:rPr>
        <w:pict>
          <v:shape id="_x0000_s1364" type="#_x0000_t75" style="width:467.3pt;height:45.95pt;margin-top:74.3pt;margin-left:67.2pt;mso-position-horizontal-relative:page;mso-position-vertical-relative:page;position:absolute;z-index:-251343872">
            <v:imagedata r:id="rId297" o:title=""/>
          </v:shape>
        </w:pict>
      </w:r>
      <w:r>
        <w:rPr>
          <w:noProof/>
        </w:rPr>
        <w:pict>
          <v:shape id="_x0000_s1365" type="#_x0000_t75" style="width:454.95pt;height:128.65pt;margin-top:185.4pt;margin-left:83.25pt;mso-position-horizontal-relative:page;mso-position-vertical-relative:page;position:absolute;z-index:-251406336">
            <v:imagedata r:id="rId298" o:title=""/>
          </v:shape>
        </w:pict>
      </w:r>
      <w:r>
        <w:rPr>
          <w:noProof/>
        </w:rPr>
        <w:pict>
          <v:shape id="_x0000_s1366" type="#_x0000_t75" style="width:454.95pt;height:73.15pt;margin-top:476.85pt;margin-left:83.25pt;mso-position-horizontal-relative:page;mso-position-vertical-relative:page;position:absolute;z-index:-251510784">
            <v:imagedata r:id="rId299" o:title=""/>
          </v:shape>
        </w:pict>
      </w:r>
    </w:p>
    <w:p>
      <w:pPr>
        <w:spacing w:line="0" w:lineRule="atLeast"/>
        <w:rPr>
          <w:rFonts w:ascii="Arial" w:eastAsiaTheme="minorEastAsia" w:hAnsiTheme="minorHAnsi" w:cstheme="minorBidi"/>
          <w:color w:val="FF0000"/>
          <w:sz w:val="2"/>
          <w:szCs w:val="22"/>
          <w:lang w:val="en-US" w:eastAsia="en-US" w:bidi="ar-SA"/>
        </w:rPr>
      </w:pPr>
      <w:bookmarkStart w:id="145" w:name="br1_144"/>
      <w:bookmarkEnd w:id="145"/>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1510" w:x="1798" w:y="18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5</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投资收益</w:t>
      </w:r>
    </w:p>
    <w:p>
      <w:pPr>
        <w:framePr w:w="1817" w:x="1798" w:y="22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247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2554" w:x="8320" w:y="2474"/>
        <w:widowControl w:val="0"/>
        <w:autoSpaceDE w:val="0"/>
        <w:autoSpaceDN w:val="0"/>
        <w:spacing w:before="70" w:line="211" w:lineRule="exact"/>
        <w:ind w:left="684"/>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上期发生额</w:t>
      </w:r>
    </w:p>
    <w:p>
      <w:pPr>
        <w:framePr w:w="662" w:x="3730"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1296" w:x="6731" w:y="275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本期发生额</w:t>
      </w:r>
    </w:p>
    <w:p>
      <w:pPr>
        <w:framePr w:w="3830" w:x="1798" w:y="30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成本法核算的长期股权投资收益</w:t>
      </w:r>
    </w:p>
    <w:p>
      <w:pPr>
        <w:framePr w:w="3830" w:x="1798" w:y="30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权益法核算的长期股权投资收益</w:t>
      </w:r>
    </w:p>
    <w:p>
      <w:pPr>
        <w:framePr w:w="3830" w:x="1798" w:y="303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处置长期股权投资产生的投资收益</w:t>
      </w:r>
    </w:p>
    <w:p>
      <w:pPr>
        <w:framePr w:w="3830" w:x="1798" w:y="303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交易性金融资产在持有期间的投资收益</w:t>
      </w:r>
    </w:p>
    <w:p>
      <w:pPr>
        <w:framePr w:w="4464" w:x="1798" w:y="41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其他权益工具投资在持有期间取得的股利收入</w:t>
      </w:r>
    </w:p>
    <w:p>
      <w:pPr>
        <w:framePr w:w="4464" w:x="1798" w:y="41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债权投资在持有期间取得的利息收入</w:t>
      </w:r>
    </w:p>
    <w:p>
      <w:pPr>
        <w:framePr w:w="4464" w:x="1798"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其他债权投资在持有期间取得的利息收入</w:t>
      </w:r>
    </w:p>
    <w:p>
      <w:pPr>
        <w:framePr w:w="4464" w:x="1798"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处置交易性金融资产取得的投资收益</w:t>
      </w:r>
    </w:p>
    <w:p>
      <w:pPr>
        <w:framePr w:w="4464" w:x="1798" w:y="41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处置其他权益工具投资取得的投资收益</w:t>
      </w:r>
    </w:p>
    <w:p>
      <w:pPr>
        <w:framePr w:w="4464" w:x="1798"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处置债权投资取得的投资收益</w:t>
      </w:r>
    </w:p>
    <w:p>
      <w:pPr>
        <w:framePr w:w="4464" w:x="1798"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处置其他债权投资取得的投资收益</w:t>
      </w:r>
    </w:p>
    <w:p>
      <w:pPr>
        <w:framePr w:w="4464" w:x="1798" w:y="4169"/>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购买理财产品取得投资收益</w:t>
      </w:r>
    </w:p>
    <w:p>
      <w:pPr>
        <w:framePr w:w="4464" w:x="1798" w:y="416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锁汇、期权收益</w:t>
      </w:r>
    </w:p>
    <w:p>
      <w:pPr>
        <w:framePr w:w="1613" w:x="6846" w:y="614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2,739,747.67</w:t>
      </w:r>
    </w:p>
    <w:p>
      <w:pPr>
        <w:framePr w:w="1613" w:x="6846" w:y="61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-1,472,947.78</w:t>
      </w:r>
    </w:p>
    <w:p>
      <w:pPr>
        <w:framePr w:w="1613" w:x="6846" w:y="6144"/>
        <w:widowControl w:val="0"/>
        <w:autoSpaceDE w:val="0"/>
        <w:autoSpaceDN w:val="0"/>
        <w:spacing w:before="70"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1,266,799.89</w:t>
      </w:r>
    </w:p>
    <w:p>
      <w:pPr>
        <w:framePr w:w="1613" w:x="9266" w:y="6144"/>
        <w:widowControl w:val="0"/>
        <w:autoSpaceDE w:val="0"/>
        <w:autoSpaceDN w:val="0"/>
        <w:spacing w:line="211" w:lineRule="exact"/>
        <w:ind w:left="106"/>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1,133,819.15</w:t>
      </w:r>
    </w:p>
    <w:p>
      <w:pPr>
        <w:framePr w:w="1613" w:x="9266" w:y="6144"/>
        <w:widowControl w:val="0"/>
        <w:autoSpaceDE w:val="0"/>
        <w:autoSpaceDN w:val="0"/>
        <w:spacing w:before="72"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-1,783,566.37</w:t>
      </w:r>
    </w:p>
    <w:p>
      <w:pPr>
        <w:framePr w:w="1613" w:x="9266" w:y="6144"/>
        <w:widowControl w:val="0"/>
        <w:autoSpaceDE w:val="0"/>
        <w:autoSpaceDN w:val="0"/>
        <w:spacing w:before="70" w:line="211" w:lineRule="exact"/>
        <w:ind w:left="21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-649,747.22</w:t>
      </w:r>
    </w:p>
    <w:p>
      <w:pPr>
        <w:framePr w:w="662" w:x="3730" w:y="670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296" w:x="1798" w:y="699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其他说明：</w:t>
      </w:r>
    </w:p>
    <w:p>
      <w:pPr>
        <w:framePr w:w="451" w:x="1798" w:y="739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p>
      <w:pPr>
        <w:framePr w:w="1087" w:x="1798" w:y="787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82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925" w:x="1798" w:y="880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十八、</w:t>
      </w:r>
      <w:r>
        <w:rPr>
          <w:rFonts w:eastAsiaTheme="minorEastAsia" w:hAnsiTheme="minorHAnsi" w:cstheme="minorBidi"/>
          <w:color w:val="000000"/>
          <w:spacing w:val="1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补充资料</w:t>
      </w:r>
    </w:p>
    <w:p>
      <w:pPr>
        <w:framePr w:w="2983" w:x="1798" w:y="91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当期非经常性损益明细表</w:t>
      </w:r>
    </w:p>
    <w:p>
      <w:pPr>
        <w:framePr w:w="2983" w:x="1798" w:y="9138"/>
        <w:widowControl w:val="0"/>
        <w:autoSpaceDE w:val="0"/>
        <w:autoSpaceDN w:val="0"/>
        <w:spacing w:before="12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554" w:x="8320" w:y="974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单位：元</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币种：人民币</w:t>
      </w:r>
    </w:p>
    <w:p>
      <w:pPr>
        <w:framePr w:w="662" w:x="4441" w:y="10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p>
      <w:pPr>
        <w:framePr w:w="662" w:x="8250" w:y="10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金额</w:t>
      </w:r>
    </w:p>
    <w:p>
      <w:pPr>
        <w:framePr w:w="662" w:x="9816" w:y="1002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说明</w:t>
      </w:r>
    </w:p>
    <w:p>
      <w:pPr>
        <w:framePr w:w="2141" w:x="1798" w:y="1030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非流动资产处置损益</w:t>
      </w:r>
    </w:p>
    <w:p>
      <w:pPr>
        <w:framePr w:w="1613" w:x="7837" w:y="1030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-1,116,000.09</w:t>
      </w:r>
    </w:p>
    <w:p>
      <w:pPr>
        <w:framePr w:w="5942" w:x="1798" w:y="1058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越权审批或无正式批准文件的税收返还、减免</w:t>
      </w:r>
    </w:p>
    <w:p>
      <w:pPr>
        <w:framePr w:w="5942" w:x="1798" w:y="1058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计入当期损益的政府补助（与企业业务密切相关，按照国家统</w:t>
      </w:r>
    </w:p>
    <w:p>
      <w:pPr>
        <w:framePr w:w="5942" w:x="1798" w:y="1058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一标准定额或定量享受的政府补助除外）</w:t>
      </w:r>
    </w:p>
    <w:p>
      <w:pPr>
        <w:framePr w:w="5942" w:x="1798" w:y="1058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计入当期损益的对非金融企业收取的资金占用费</w:t>
      </w:r>
    </w:p>
    <w:p>
      <w:pPr>
        <w:framePr w:w="5942" w:x="1798" w:y="1058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企业取得子公司、联营企业及合营企业的投资成本小于取得投</w:t>
      </w:r>
    </w:p>
    <w:p>
      <w:pPr>
        <w:framePr w:w="5942" w:x="1798" w:y="10589"/>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资时应享有被投资单位可辨认净资产公允价值产生的收益</w:t>
      </w:r>
    </w:p>
    <w:p>
      <w:pPr>
        <w:framePr w:w="5942" w:x="1798" w:y="10589"/>
        <w:widowControl w:val="0"/>
        <w:autoSpaceDE w:val="0"/>
        <w:autoSpaceDN w:val="0"/>
        <w:spacing w:before="73"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非货币性资产交换损益</w:t>
      </w:r>
    </w:p>
    <w:p>
      <w:pPr>
        <w:framePr w:w="1507" w:x="7943" w:y="10873"/>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1,979,331.29</w:t>
      </w:r>
    </w:p>
    <w:p>
      <w:pPr>
        <w:framePr w:w="3197" w:x="1798" w:y="1254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委托他人投资或管理资产的损益</w:t>
      </w:r>
    </w:p>
    <w:p>
      <w:pPr>
        <w:framePr w:w="1507" w:x="7943" w:y="1254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4,178,652.09</w:t>
      </w:r>
    </w:p>
    <w:p>
      <w:pPr>
        <w:framePr w:w="5942" w:x="1798" w:y="1282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因不可抗力因素，如遭受自然灾害而计提的各项资产减值准备</w:t>
      </w:r>
    </w:p>
    <w:p>
      <w:pPr>
        <w:framePr w:w="5942" w:x="1798" w:y="12829"/>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债务重组损益</w:t>
      </w:r>
    </w:p>
    <w:p>
      <w:pPr>
        <w:framePr w:w="5942" w:x="1798" w:y="133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企业重组费用，如安置职工的支出、整合费用等</w:t>
      </w:r>
    </w:p>
    <w:p>
      <w:pPr>
        <w:framePr w:w="5942" w:x="1798" w:y="13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交易价格显失公允的交易产生的超过公允价值部分的损益</w:t>
      </w:r>
    </w:p>
    <w:p>
      <w:pPr>
        <w:framePr w:w="5942" w:x="1798" w:y="1339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同一控制下企业合并产生的子公司期初至合并日的当期净损益</w:t>
      </w:r>
    </w:p>
    <w:p>
      <w:pPr>
        <w:framePr w:w="5942" w:x="1798" w:y="13393"/>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与公司正常经营业务无关的或有事项产生的损益</w:t>
      </w:r>
    </w:p>
    <w:p>
      <w:pPr>
        <w:framePr w:w="7647" w:x="1798" w:y="14524"/>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除同公司正常经营业务相关的有效套期保值业务外，持有交易</w:t>
      </w:r>
      <w:r>
        <w:rPr>
          <w:rFonts w:eastAsiaTheme="minorEastAsia" w:hAnsiTheme="minorHAnsi" w:cstheme="minorBidi"/>
          <w:color w:val="000000"/>
          <w:spacing w:val="311"/>
          <w:sz w:val="21"/>
          <w:szCs w:val="22"/>
          <w:lang w:val="en-US" w:eastAsia="en-US" w:bidi="ar-SA"/>
        </w:rPr>
        <w:t xml:space="preserve"> </w:t>
      </w:r>
      <w:r>
        <w:rPr>
          <w:rFonts w:ascii="SimSun" w:eastAsiaTheme="minorEastAsia" w:hAnsiTheme="minorHAnsi" w:cstheme="minorBidi"/>
          <w:color w:val="000000"/>
          <w:sz w:val="21"/>
          <w:szCs w:val="22"/>
          <w:lang w:val="en-US" w:eastAsia="en-US" w:bidi="ar-SA"/>
        </w:rPr>
        <w:t>-3,614,017.08</w:t>
      </w:r>
    </w:p>
    <w:p>
      <w:pPr>
        <w:framePr w:w="7647" w:x="1798" w:y="14524"/>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性金融资产、衍生金融资产、交易性金融负债、衍生金融负债</w:t>
      </w:r>
    </w:p>
    <w:p>
      <w:pPr>
        <w:framePr w:w="5942" w:x="1798" w:y="150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产生的公允价值变动损益，以及处置交易性金融资产、衍生金</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146</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67" type="#_x0000_t75" style="width:445.6pt;height:2.7pt;margin-top:53.65pt;margin-left:87.45pt;mso-position-horizontal-relative:page;mso-position-vertical-relative:page;position:absolute;z-index:-251342848">
            <v:imagedata r:id="rId300" o:title=""/>
          </v:shape>
        </w:pict>
      </w:r>
      <w:r>
        <w:rPr>
          <w:noProof/>
        </w:rPr>
        <w:pict>
          <v:shape id="_x0000_s1368" type="#_x0000_t75" style="width:454.95pt;height:214.3pt;margin-top:134.8pt;margin-left:83.25pt;mso-position-horizontal-relative:page;mso-position-vertical-relative:page;position:absolute;z-index:-251405312">
            <v:imagedata r:id="rId301" o:title=""/>
          </v:shape>
        </w:pict>
      </w:r>
      <w:r>
        <w:rPr>
          <w:noProof/>
        </w:rPr>
        <w:pict>
          <v:shape id="_x0000_s1369" type="#_x0000_t75" style="width:454.95pt;height:268.8pt;margin-top:498.3pt;margin-left:83.25pt;mso-position-horizontal-relative:page;mso-position-vertical-relative:page;position:absolute;z-index:-251509760">
            <v:imagedata r:id="rId302" o:title=""/>
          </v:shape>
        </w:pict>
      </w:r>
    </w:p>
    <w:p>
      <w:pPr>
        <w:spacing w:line="0" w:lineRule="atLeast"/>
        <w:rPr>
          <w:rFonts w:ascii="Arial" w:eastAsiaTheme="minorEastAsia" w:hAnsiTheme="minorHAnsi" w:cstheme="minorBidi"/>
          <w:color w:val="FF0000"/>
          <w:sz w:val="2"/>
          <w:szCs w:val="22"/>
          <w:lang w:val="en-US" w:eastAsia="en-US" w:bidi="ar-SA"/>
        </w:rPr>
      </w:pPr>
      <w:bookmarkStart w:id="146" w:name="br1_145"/>
      <w:bookmarkEnd w:id="146"/>
      <w:r>
        <w:rPr>
          <w:rFonts w:ascii="Arial" w:eastAsiaTheme="minorEastAsia" w:hAnsiTheme="minorHAnsi" w:cstheme="minorBidi"/>
          <w:color w:val="FF0000"/>
          <w:sz w:val="2"/>
          <w:szCs w:val="22"/>
          <w:lang w:val="en-US" w:eastAsia="en-US" w:bidi="ar-SA"/>
        </w:rPr>
        <w:t xml:space="preserve"> </w:t>
      </w:r>
    </w:p>
    <w:p>
      <w:pPr>
        <w:framePr w:w="1730" w:x="5459" w:y="847"/>
        <w:widowControl w:val="0"/>
        <w:autoSpaceDE w:val="0"/>
        <w:autoSpaceDN w:val="0"/>
        <w:spacing w:line="220" w:lineRule="exact"/>
        <w:rPr>
          <w:rFonts w:eastAsiaTheme="minorEastAsia" w:hAnsiTheme="minorHAnsi" w:cstheme="minorBidi"/>
          <w:color w:val="000000"/>
          <w:sz w:val="18"/>
          <w:szCs w:val="22"/>
          <w:lang w:val="en-US" w:eastAsia="en-US" w:bidi="ar-SA"/>
        </w:rPr>
      </w:pPr>
      <w:r>
        <w:rPr>
          <w:rFonts w:ascii="Calibri" w:eastAsiaTheme="minorEastAsia" w:hAnsiTheme="minorHAnsi" w:cstheme="minorBidi"/>
          <w:color w:val="000000"/>
          <w:sz w:val="18"/>
          <w:szCs w:val="22"/>
          <w:lang w:val="en-US" w:eastAsia="en-US" w:bidi="ar-SA"/>
        </w:rPr>
        <w:t>2020</w:t>
      </w:r>
      <w:r>
        <w:rPr>
          <w:rFonts w:ascii="Calibri"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z w:val="18"/>
          <w:szCs w:val="22"/>
          <w:lang w:val="en-US" w:eastAsia="en-US" w:bidi="ar-SA"/>
        </w:rPr>
        <w:t>年半年度报告</w:t>
      </w:r>
    </w:p>
    <w:p>
      <w:pPr>
        <w:framePr w:w="5942" w:x="1798" w:y="154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融资产、交易性金融负债、衍生金融负债和其他债权投资取得</w:t>
      </w:r>
    </w:p>
    <w:p>
      <w:pPr>
        <w:framePr w:w="5942" w:x="1798" w:y="1547"/>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的投资收益</w:t>
      </w:r>
    </w:p>
    <w:p>
      <w:pPr>
        <w:framePr w:w="5309" w:x="1798" w:y="210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单独进行减值测试的应收款项、合同资产减值准备转回</w:t>
      </w:r>
    </w:p>
    <w:p>
      <w:pPr>
        <w:framePr w:w="5309" w:x="1798" w:y="2102"/>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对外委托贷款取得的损益</w:t>
      </w:r>
    </w:p>
    <w:p>
      <w:pPr>
        <w:framePr w:w="5942" w:x="1798" w:y="2666"/>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采用公允价值模式进行后续计量的投资性房地产公允价值变动</w:t>
      </w:r>
    </w:p>
    <w:p>
      <w:pPr>
        <w:framePr w:w="5942" w:x="1798" w:y="2666"/>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产生的损益</w:t>
      </w:r>
    </w:p>
    <w:p>
      <w:pPr>
        <w:framePr w:w="5942" w:x="1798" w:y="32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根据税收、会计等法律、法规的要求对当期损益进行一次性调</w:t>
      </w:r>
    </w:p>
    <w:p>
      <w:pPr>
        <w:framePr w:w="5942" w:x="1798" w:y="3220"/>
        <w:widowControl w:val="0"/>
        <w:autoSpaceDE w:val="0"/>
        <w:autoSpaceDN w:val="0"/>
        <w:spacing w:before="6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整对当期损益的影响</w:t>
      </w:r>
    </w:p>
    <w:p>
      <w:pPr>
        <w:framePr w:w="2774" w:x="1798" w:y="377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受托经营取得的托管费收入</w:t>
      </w:r>
    </w:p>
    <w:p>
      <w:pPr>
        <w:framePr w:w="4042" w:x="1798" w:y="40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除上述各项之外的其他营业外收入和支出</w:t>
      </w:r>
    </w:p>
    <w:p>
      <w:pPr>
        <w:framePr w:w="4042" w:x="1798" w:y="4058"/>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其他符合非经常性损益定义的损益项目</w:t>
      </w:r>
    </w:p>
    <w:p>
      <w:pPr>
        <w:framePr w:w="4042" w:x="1798" w:y="4058"/>
        <w:widowControl w:val="0"/>
        <w:autoSpaceDE w:val="0"/>
        <w:autoSpaceDN w:val="0"/>
        <w:spacing w:before="7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所得税影响额</w:t>
      </w:r>
    </w:p>
    <w:p>
      <w:pPr>
        <w:framePr w:w="1718" w:x="7732" w:y="4058"/>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-14,638,024.72</w:t>
      </w:r>
    </w:p>
    <w:p>
      <w:pPr>
        <w:framePr w:w="1718" w:x="7732" w:y="4058"/>
        <w:widowControl w:val="0"/>
        <w:autoSpaceDE w:val="0"/>
        <w:autoSpaceDN w:val="0"/>
        <w:spacing w:before="72" w:line="211" w:lineRule="exact"/>
        <w:ind w:left="631"/>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2,559.03</w:t>
      </w:r>
    </w:p>
    <w:p>
      <w:pPr>
        <w:framePr w:w="1507" w:x="7943" w:y="4622"/>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3,316,902.74</w:t>
      </w:r>
    </w:p>
    <w:p>
      <w:pPr>
        <w:framePr w:w="2141" w:x="1798" w:y="490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少数股东权益影响额</w:t>
      </w:r>
    </w:p>
    <w:p>
      <w:pPr>
        <w:framePr w:w="662" w:x="4441" w:y="518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p>
    <w:p>
      <w:pPr>
        <w:framePr w:w="1613" w:x="7837" w:y="518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-9,890,596.74</w:t>
      </w:r>
    </w:p>
    <w:p>
      <w:pPr>
        <w:framePr w:w="9069" w:x="1798" w:y="574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对公司根据《公开发行证券的公司信息披露解释性公告第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号——非经常性损益》定义界定的非</w:t>
      </w:r>
    </w:p>
    <w:p>
      <w:pPr>
        <w:framePr w:w="9069" w:x="1798" w:y="57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经常性损益项目，以及把《公开发行证券的公司信息披露解释性公告第</w:t>
      </w:r>
      <w:r>
        <w:rPr>
          <w:rFonts w:eastAsiaTheme="minorEastAsia" w:hAnsiTheme="minorHAnsi" w:cstheme="minorBidi"/>
          <w:color w:val="000000"/>
          <w:spacing w:val="1"/>
          <w:sz w:val="21"/>
          <w:szCs w:val="22"/>
          <w:lang w:val="en-US" w:eastAsia="en-US" w:bidi="ar-SA"/>
        </w:rPr>
        <w:t xml:space="preserve"> </w:t>
      </w:r>
      <w:r>
        <w:rPr>
          <w:rFonts w:ascii="SimSun" w:eastAsiaTheme="minorEastAsia" w:hAnsiTheme="minorHAnsi" w:cstheme="minorBidi"/>
          <w:color w:val="000000"/>
          <w:spacing w:val="53"/>
          <w:sz w:val="21"/>
          <w:szCs w:val="22"/>
          <w:lang w:val="en-US" w:eastAsia="en-US" w:bidi="ar-SA"/>
        </w:rPr>
        <w:t>1</w:t>
      </w:r>
      <w:r>
        <w:rPr>
          <w:rFonts w:ascii="SimSun" w:hAnsi="SimSun" w:eastAsiaTheme="minorEastAsia" w:cs="SimSun"/>
          <w:color w:val="000000"/>
          <w:sz w:val="21"/>
          <w:szCs w:val="22"/>
          <w:lang w:val="en-US" w:eastAsia="en-US" w:bidi="ar-SA"/>
        </w:rPr>
        <w:t>号——非经常性损益》</w:t>
      </w:r>
    </w:p>
    <w:p>
      <w:pPr>
        <w:framePr w:w="9069" w:x="1798" w:y="5743"/>
        <w:widowControl w:val="0"/>
        <w:autoSpaceDE w:val="0"/>
        <w:autoSpaceDN w:val="0"/>
        <w:spacing w:before="197"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中列举的非经常性损益项目界定为经常性损益的项目，应说明原因。</w:t>
      </w:r>
    </w:p>
    <w:p>
      <w:pPr>
        <w:framePr w:w="1817" w:x="1798" w:y="696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2983" w:x="1798" w:y="7301"/>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净资产收益率及每股收益</w:t>
      </w:r>
    </w:p>
    <w:p>
      <w:pPr>
        <w:framePr w:w="2983" w:x="1798" w:y="7301"/>
        <w:widowControl w:val="0"/>
        <w:autoSpaceDE w:val="0"/>
        <w:autoSpaceDN w:val="0"/>
        <w:spacing w:before="12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421" w:x="7264" w:y="7915"/>
        <w:widowControl w:val="0"/>
        <w:autoSpaceDE w:val="0"/>
        <w:autoSpaceDN w:val="0"/>
        <w:spacing w:line="211" w:lineRule="exact"/>
        <w:ind w:left="1135"/>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每股收益</w:t>
      </w:r>
    </w:p>
    <w:p>
      <w:pPr>
        <w:framePr w:w="3421" w:x="7264" w:y="7915"/>
        <w:widowControl w:val="0"/>
        <w:autoSpaceDE w:val="0"/>
        <w:autoSpaceDN w:val="0"/>
        <w:spacing w:before="115"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基本每股收益</w:t>
      </w:r>
      <w:r>
        <w:rPr>
          <w:rFonts w:eastAsiaTheme="minorEastAsia" w:hAnsiTheme="minorHAnsi" w:cstheme="minorBidi"/>
          <w:color w:val="000000"/>
          <w:spacing w:val="604"/>
          <w:sz w:val="21"/>
          <w:szCs w:val="22"/>
          <w:lang w:val="en-US" w:eastAsia="en-US" w:bidi="ar-SA"/>
        </w:rPr>
        <w:t xml:space="preserve"> </w:t>
      </w:r>
      <w:r>
        <w:rPr>
          <w:rFonts w:ascii="SimSun" w:hAnsi="SimSun" w:eastAsiaTheme="minorEastAsia" w:cs="SimSun"/>
          <w:color w:val="000000"/>
          <w:sz w:val="21"/>
          <w:szCs w:val="22"/>
          <w:lang w:val="en-US" w:eastAsia="en-US" w:bidi="ar-SA"/>
        </w:rPr>
        <w:t>稀释每股收益</w:t>
      </w:r>
    </w:p>
    <w:p>
      <w:pPr>
        <w:framePr w:w="1930" w:x="5067" w:y="796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加权平均净资产收</w:t>
      </w:r>
    </w:p>
    <w:p>
      <w:pPr>
        <w:framePr w:w="1296" w:x="2777" w:y="810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报告期利润</w:t>
      </w:r>
    </w:p>
    <w:p>
      <w:pPr>
        <w:framePr w:w="1190" w:x="5435" w:y="823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益率（</w:t>
      </w:r>
      <w:r>
        <w:rPr>
          <w:rFonts w:ascii="SimSun"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w:t>
      </w:r>
    </w:p>
    <w:p>
      <w:pPr>
        <w:framePr w:w="3197" w:x="1798" w:y="8569"/>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归属于公司普通股股东的净利润</w:t>
      </w:r>
    </w:p>
    <w:p>
      <w:pPr>
        <w:framePr w:w="663" w:x="6373" w:y="85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6.04</w:t>
      </w:r>
    </w:p>
    <w:p>
      <w:pPr>
        <w:framePr w:w="663" w:x="6373" w:y="8569"/>
        <w:widowControl w:val="0"/>
        <w:autoSpaceDE w:val="0"/>
        <w:autoSpaceDN w:val="0"/>
        <w:spacing w:before="15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6.66</w:t>
      </w:r>
    </w:p>
    <w:p>
      <w:pPr>
        <w:framePr w:w="662" w:x="8358" w:y="85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0.61</w:t>
      </w:r>
    </w:p>
    <w:p>
      <w:pPr>
        <w:framePr w:w="662" w:x="8358" w:y="8569"/>
        <w:widowControl w:val="0"/>
        <w:autoSpaceDE w:val="0"/>
        <w:autoSpaceDN w:val="0"/>
        <w:spacing w:before="15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0.67</w:t>
      </w:r>
    </w:p>
    <w:p>
      <w:pPr>
        <w:framePr w:w="662" w:x="10212" w:y="8569"/>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0.61</w:t>
      </w:r>
    </w:p>
    <w:p>
      <w:pPr>
        <w:framePr w:w="662" w:x="10212" w:y="8569"/>
        <w:widowControl w:val="0"/>
        <w:autoSpaceDE w:val="0"/>
        <w:autoSpaceDN w:val="0"/>
        <w:spacing w:before="158" w:line="211" w:lineRule="exact"/>
        <w:rPr>
          <w:rFonts w:ascii="SimSun"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0.67</w:t>
      </w:r>
    </w:p>
    <w:p>
      <w:pPr>
        <w:framePr w:w="3197" w:x="1798" w:y="893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扣除非经常性损益后归属于公司</w:t>
      </w:r>
    </w:p>
    <w:p>
      <w:pPr>
        <w:framePr w:w="3197" w:x="1798" w:y="8938"/>
        <w:widowControl w:val="0"/>
        <w:autoSpaceDE w:val="0"/>
        <w:autoSpaceDN w:val="0"/>
        <w:spacing w:before="60"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普通股股东的净利润</w:t>
      </w:r>
    </w:p>
    <w:p>
      <w:pPr>
        <w:framePr w:w="3614" w:x="1798" w:y="9824"/>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境内外会计准则下会计数据差异</w:t>
      </w:r>
    </w:p>
    <w:p>
      <w:pPr>
        <w:framePr w:w="1817" w:x="1798" w:y="10158"/>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1085" w:x="1798" w:y="10762"/>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其他</w:t>
      </w:r>
    </w:p>
    <w:p>
      <w:pPr>
        <w:framePr w:w="1817" w:x="1798" w:y="1109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3187" w:x="4741" w:y="11706"/>
        <w:widowControl w:val="0"/>
        <w:autoSpaceDE w:val="0"/>
        <w:autoSpaceDN w:val="0"/>
        <w:spacing w:line="281" w:lineRule="exact"/>
        <w:rPr>
          <w:rFonts w:eastAsiaTheme="minorEastAsia" w:hAnsiTheme="minorHAnsi" w:cstheme="minorBidi"/>
          <w:color w:val="000000"/>
          <w:sz w:val="28"/>
          <w:szCs w:val="22"/>
          <w:lang w:val="en-US" w:eastAsia="en-US" w:bidi="ar-SA"/>
        </w:rPr>
      </w:pPr>
      <w:r>
        <w:rPr>
          <w:rFonts w:ascii="SimSun" w:hAnsi="SimSun" w:eastAsiaTheme="minorEastAsia" w:cs="SimSun"/>
          <w:color w:val="000000"/>
          <w:spacing w:val="2"/>
          <w:sz w:val="28"/>
          <w:szCs w:val="22"/>
          <w:lang w:val="en-US" w:eastAsia="en-US" w:bidi="ar-SA"/>
        </w:rPr>
        <w:t>第十一节</w:t>
      </w:r>
      <w:r>
        <w:rPr>
          <w:rFonts w:eastAsiaTheme="minorEastAsia" w:hAnsiTheme="minorHAnsi" w:cstheme="minorBidi"/>
          <w:color w:val="000000"/>
          <w:spacing w:val="64"/>
          <w:sz w:val="28"/>
          <w:szCs w:val="22"/>
          <w:lang w:val="en-US" w:eastAsia="en-US" w:bidi="ar-SA"/>
        </w:rPr>
        <w:t xml:space="preserve"> </w:t>
      </w:r>
      <w:r>
        <w:rPr>
          <w:rFonts w:ascii="SimSun" w:hAnsi="SimSun" w:eastAsiaTheme="minorEastAsia" w:cs="SimSun"/>
          <w:color w:val="000000"/>
          <w:spacing w:val="1"/>
          <w:sz w:val="28"/>
          <w:szCs w:val="22"/>
          <w:lang w:val="en-US" w:eastAsia="en-US" w:bidi="ar-SA"/>
        </w:rPr>
        <w:t>备查文件目录</w:t>
      </w:r>
    </w:p>
    <w:p>
      <w:pPr>
        <w:framePr w:w="7632" w:x="3245" w:y="12673"/>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载有法定代表人、主管会计工作负责人、会计机构负责人签名并盖章的会计报表</w:t>
      </w:r>
    </w:p>
    <w:p>
      <w:pPr>
        <w:framePr w:w="7632" w:x="3245" w:y="12673"/>
        <w:widowControl w:val="0"/>
        <w:autoSpaceDE w:val="0"/>
        <w:autoSpaceDN w:val="0"/>
        <w:spacing w:before="72"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报告期内在中国证监会指定报纸公开披露过的所有公司文件的正本及公告的原稿</w:t>
      </w:r>
    </w:p>
    <w:p>
      <w:pPr>
        <w:framePr w:w="1507" w:x="1860" w:y="12815"/>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备查文件目录</w:t>
      </w:r>
    </w:p>
    <w:p>
      <w:pPr>
        <w:framePr w:w="1718" w:x="9057" w:y="13317"/>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董事长：王现全</w:t>
      </w:r>
    </w:p>
    <w:p>
      <w:pPr>
        <w:framePr w:w="3302" w:x="7585" w:y="13677"/>
        <w:widowControl w:val="0"/>
        <w:autoSpaceDE w:val="0"/>
        <w:autoSpaceDN w:val="0"/>
        <w:spacing w:line="211" w:lineRule="exact"/>
        <w:rPr>
          <w:rFonts w:ascii="SimSun"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董事会批准报送日期：</w:t>
      </w:r>
      <w:r>
        <w:rPr>
          <w:rFonts w:ascii="SimSun" w:eastAsiaTheme="minorEastAsia" w:hAnsiTheme="minorHAnsi" w:cstheme="minorBidi"/>
          <w:color w:val="000000"/>
          <w:sz w:val="21"/>
          <w:szCs w:val="22"/>
          <w:lang w:val="en-US" w:eastAsia="en-US" w:bidi="ar-SA"/>
        </w:rPr>
        <w:t>2020-8-25</w:t>
      </w:r>
    </w:p>
    <w:p>
      <w:pPr>
        <w:framePr w:w="1204" w:x="1798" w:y="14012"/>
        <w:widowControl w:val="0"/>
        <w:autoSpaceDE w:val="0"/>
        <w:autoSpaceDN w:val="0"/>
        <w:spacing w:line="240" w:lineRule="exac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修订信息</w:t>
      </w:r>
    </w:p>
    <w:p>
      <w:pPr>
        <w:framePr w:w="1817" w:x="1798" w:y="14320"/>
        <w:widowControl w:val="0"/>
        <w:autoSpaceDE w:val="0"/>
        <w:autoSpaceDN w:val="0"/>
        <w:spacing w:line="211" w:lineRule="exac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□适用</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√不适用</w:t>
      </w:r>
    </w:p>
    <w:p>
      <w:pPr>
        <w:framePr w:w="938" w:x="5864" w:y="15388"/>
        <w:widowControl w:val="0"/>
        <w:autoSpaceDE w:val="0"/>
        <w:autoSpaceDN w:val="0"/>
        <w:spacing w:line="220" w:lineRule="exact"/>
        <w:rPr>
          <w:rFonts w:ascii="Calibri" w:eastAsiaTheme="minorEastAsia" w:hAnsiTheme="minorHAnsi" w:cstheme="minorBidi"/>
          <w:b/>
          <w:color w:val="000000"/>
          <w:sz w:val="18"/>
          <w:szCs w:val="22"/>
          <w:lang w:val="en-US" w:eastAsia="en-US" w:bidi="ar-SA"/>
        </w:rPr>
      </w:pPr>
      <w:r>
        <w:rPr>
          <w:rFonts w:ascii="Calibri" w:eastAsiaTheme="minorEastAsia" w:hAnsiTheme="minorHAnsi" w:cstheme="minorBidi"/>
          <w:b/>
          <w:color w:val="000000"/>
          <w:sz w:val="18"/>
          <w:szCs w:val="22"/>
          <w:lang w:val="en-US" w:eastAsia="en-US" w:bidi="ar-SA"/>
        </w:rPr>
        <w:t>147</w:t>
      </w:r>
      <w:r>
        <w:rPr>
          <w:rFonts w:ascii="Calibri" w:eastAsiaTheme="minorEastAsia" w:hAnsiTheme="minorHAnsi" w:cstheme="minorBidi"/>
          <w:b/>
          <w:color w:val="000000"/>
          <w:sz w:val="18"/>
          <w:szCs w:val="22"/>
          <w:lang w:val="en-US" w:eastAsia="en-US" w:bidi="ar-SA"/>
        </w:rPr>
        <w:t xml:space="preserve"> </w:t>
      </w:r>
      <w:r>
        <w:rPr>
          <w:rFonts w:ascii="Calibri" w:eastAsiaTheme="minorEastAsia" w:hAnsiTheme="minorHAnsi" w:cstheme="minorBidi"/>
          <w:color w:val="000000"/>
          <w:sz w:val="18"/>
          <w:szCs w:val="22"/>
          <w:lang w:val="en-US" w:eastAsia="en-US" w:bidi="ar-SA"/>
        </w:rPr>
        <w:t>/</w:t>
      </w:r>
      <w:r>
        <w:rPr>
          <w:rFonts w:ascii="Calibri" w:eastAsiaTheme="minorEastAsia" w:hAnsiTheme="minorHAnsi" w:cstheme="minorBidi"/>
          <w:color w:val="000000"/>
          <w:sz w:val="18"/>
          <w:szCs w:val="22"/>
          <w:lang w:val="en-US" w:eastAsia="en-US" w:bidi="ar-SA"/>
        </w:rPr>
        <w:t xml:space="preserve"> </w:t>
      </w:r>
      <w:r>
        <w:rPr>
          <w:rFonts w:ascii="Calibri" w:eastAsiaTheme="minorEastAsia" w:hAnsiTheme="minorHAnsi" w:cstheme="minorBidi"/>
          <w:b/>
          <w:color w:val="000000"/>
          <w:sz w:val="18"/>
          <w:szCs w:val="22"/>
          <w:lang w:val="en-US" w:eastAsia="en-US" w:bidi="ar-SA"/>
        </w:rPr>
        <w:t>147</w:t>
      </w:r>
    </w:p>
    <w:p>
      <w:pPr>
        <w:spacing w:line="0" w:lineRule="atLeast"/>
        <w:rPr>
          <w:rFonts w:ascii="Arial" w:eastAsiaTheme="minorEastAsia" w:hAnsiTheme="minorHAnsi" w:cstheme="minorBidi"/>
          <w:color w:val="FF0000"/>
          <w:sz w:val="2"/>
          <w:szCs w:val="22"/>
          <w:lang w:val="en-US" w:eastAsia="en-US" w:bidi="ar-SA"/>
        </w:rPr>
      </w:pPr>
      <w:r>
        <w:rPr>
          <w:noProof/>
        </w:rPr>
        <w:pict>
          <v:shape id="_x0000_s1370" type="#_x0000_t75" style="width:445.6pt;height:2.7pt;margin-top:53.65pt;margin-left:87.45pt;mso-position-horizontal-relative:page;mso-position-vertical-relative:page;position:absolute;z-index:-251310080">
            <v:imagedata r:id="rId303" o:title=""/>
          </v:shape>
        </w:pict>
      </w:r>
      <w:r>
        <w:rPr>
          <w:noProof/>
        </w:rPr>
        <w:pict>
          <v:shape id="_x0000_s1371" type="#_x0000_t75" style="width:454.95pt;height:198.75pt;margin-top:74.3pt;margin-left:83.25pt;mso-position-horizontal-relative:page;mso-position-vertical-relative:page;position:absolute;z-index:-251341824">
            <v:imagedata r:id="rId304" o:title=""/>
          </v:shape>
        </w:pict>
      </w:r>
      <w:r>
        <w:rPr>
          <w:noProof/>
        </w:rPr>
        <w:pict>
          <v:shape id="_x0000_s1372" type="#_x0000_t75" style="width:454.95pt;height:81.35pt;margin-top:392.8pt;margin-left:83.25pt;mso-position-horizontal-relative:page;mso-position-vertical-relative:page;position:absolute;z-index:-251404288">
            <v:imagedata r:id="rId305" o:title=""/>
          </v:shape>
        </w:pict>
      </w:r>
      <w:r>
        <w:rPr>
          <w:noProof/>
        </w:rPr>
        <w:pict>
          <v:shape id="_x0000_s1373" type="#_x0000_t75" style="width:447.3pt;height:30.8pt;margin-top:630.7pt;margin-left:87.1pt;mso-position-horizontal-relative:page;mso-position-vertical-relative:page;position:absolute;z-index:-251508736">
            <v:imagedata r:id="rId306"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SimSun">
    <w:panose1 w:val="00000000000000000000"/>
    <w:charset w:val="01"/>
    <w:family w:val="auto"/>
    <w:notTrueType/>
    <w:pitch w:val="default"/>
    <w:sig w:usb0="01010101" w:usb1="01010101" w:usb2="01010101" w:usb3="01010101" w:csb0="01010101" w:csb1="01010101"/>
  </w:font>
  <w:font w:name="SimHei">
    <w:panose1 w:val="00000000000000000000"/>
    <w:charset w:val="01"/>
    <w:family w:val="auto"/>
    <w:notTrueType/>
    <w:pitch w:val="default"/>
    <w:sig w:usb0="01010101" w:usb1="01010101" w:usb2="01010101" w:usb3="01010101" w:csb0="01010101" w:csb1="01010101"/>
  </w:font>
  <w:font w:name="Cambria">
    <w:panose1 w:val="00000000000000000000"/>
    <w:charset w:val="01"/>
    <w:family w:val="auto"/>
    <w:notTrueType/>
    <w:pitch w:val="default"/>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jpe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jpeg" /><Relationship Id="rId197" Type="http://schemas.openxmlformats.org/officeDocument/2006/relationships/image" Target="media/image194.jpeg" /><Relationship Id="rId198" Type="http://schemas.openxmlformats.org/officeDocument/2006/relationships/image" Target="media/image195.jpeg" /><Relationship Id="rId199" Type="http://schemas.openxmlformats.org/officeDocument/2006/relationships/image" Target="media/image196.jpeg"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image" Target="media/image197.jpeg" /><Relationship Id="rId201" Type="http://schemas.openxmlformats.org/officeDocument/2006/relationships/image" Target="media/image198.jpeg" /><Relationship Id="rId202" Type="http://schemas.openxmlformats.org/officeDocument/2006/relationships/image" Target="media/image199.jpeg" /><Relationship Id="rId203" Type="http://schemas.openxmlformats.org/officeDocument/2006/relationships/image" Target="media/image200.jpeg" /><Relationship Id="rId204" Type="http://schemas.openxmlformats.org/officeDocument/2006/relationships/image" Target="media/image201.jpeg" /><Relationship Id="rId205" Type="http://schemas.openxmlformats.org/officeDocument/2006/relationships/image" Target="media/image202.jpeg" /><Relationship Id="rId206" Type="http://schemas.openxmlformats.org/officeDocument/2006/relationships/image" Target="media/image203.jpeg" /><Relationship Id="rId207" Type="http://schemas.openxmlformats.org/officeDocument/2006/relationships/image" Target="media/image204.jpeg" /><Relationship Id="rId208" Type="http://schemas.openxmlformats.org/officeDocument/2006/relationships/image" Target="media/image205.jpeg" /><Relationship Id="rId209" Type="http://schemas.openxmlformats.org/officeDocument/2006/relationships/image" Target="media/image206.jpeg" /><Relationship Id="rId21" Type="http://schemas.openxmlformats.org/officeDocument/2006/relationships/image" Target="media/image18.jpeg" /><Relationship Id="rId210" Type="http://schemas.openxmlformats.org/officeDocument/2006/relationships/image" Target="media/image207.jpeg" /><Relationship Id="rId211" Type="http://schemas.openxmlformats.org/officeDocument/2006/relationships/image" Target="media/image208.jpeg" /><Relationship Id="rId212" Type="http://schemas.openxmlformats.org/officeDocument/2006/relationships/image" Target="media/image209.jpeg" /><Relationship Id="rId213" Type="http://schemas.openxmlformats.org/officeDocument/2006/relationships/image" Target="media/image210.jpeg" /><Relationship Id="rId214" Type="http://schemas.openxmlformats.org/officeDocument/2006/relationships/image" Target="media/image211.jpeg" /><Relationship Id="rId215" Type="http://schemas.openxmlformats.org/officeDocument/2006/relationships/image" Target="media/image212.jpeg" /><Relationship Id="rId216" Type="http://schemas.openxmlformats.org/officeDocument/2006/relationships/image" Target="media/image213.jpeg" /><Relationship Id="rId217" Type="http://schemas.openxmlformats.org/officeDocument/2006/relationships/image" Target="media/image214.jpeg" /><Relationship Id="rId218" Type="http://schemas.openxmlformats.org/officeDocument/2006/relationships/image" Target="media/image215.jpeg" /><Relationship Id="rId219" Type="http://schemas.openxmlformats.org/officeDocument/2006/relationships/image" Target="media/image216.jpeg" /><Relationship Id="rId22" Type="http://schemas.openxmlformats.org/officeDocument/2006/relationships/image" Target="media/image19.jpeg" /><Relationship Id="rId220" Type="http://schemas.openxmlformats.org/officeDocument/2006/relationships/image" Target="media/image217.jpeg" /><Relationship Id="rId221" Type="http://schemas.openxmlformats.org/officeDocument/2006/relationships/image" Target="media/image218.jpeg" /><Relationship Id="rId222" Type="http://schemas.openxmlformats.org/officeDocument/2006/relationships/image" Target="media/image219.jpeg" /><Relationship Id="rId223" Type="http://schemas.openxmlformats.org/officeDocument/2006/relationships/image" Target="media/image220.jpeg" /><Relationship Id="rId224" Type="http://schemas.openxmlformats.org/officeDocument/2006/relationships/image" Target="media/image221.jpeg" /><Relationship Id="rId225" Type="http://schemas.openxmlformats.org/officeDocument/2006/relationships/image" Target="media/image222.jpeg" /><Relationship Id="rId226" Type="http://schemas.openxmlformats.org/officeDocument/2006/relationships/image" Target="media/image223.jpeg" /><Relationship Id="rId227" Type="http://schemas.openxmlformats.org/officeDocument/2006/relationships/image" Target="media/image224.jpeg" /><Relationship Id="rId228" Type="http://schemas.openxmlformats.org/officeDocument/2006/relationships/image" Target="media/image225.jpeg" /><Relationship Id="rId229" Type="http://schemas.openxmlformats.org/officeDocument/2006/relationships/image" Target="media/image226.jpeg" /><Relationship Id="rId23" Type="http://schemas.openxmlformats.org/officeDocument/2006/relationships/image" Target="media/image20.jpeg" /><Relationship Id="rId230" Type="http://schemas.openxmlformats.org/officeDocument/2006/relationships/image" Target="media/image227.jpeg" /><Relationship Id="rId231" Type="http://schemas.openxmlformats.org/officeDocument/2006/relationships/image" Target="media/image228.jpeg" /><Relationship Id="rId232" Type="http://schemas.openxmlformats.org/officeDocument/2006/relationships/image" Target="media/image229.jpeg" /><Relationship Id="rId233" Type="http://schemas.openxmlformats.org/officeDocument/2006/relationships/image" Target="media/image230.jpeg" /><Relationship Id="rId234" Type="http://schemas.openxmlformats.org/officeDocument/2006/relationships/image" Target="media/image231.jpeg" /><Relationship Id="rId235" Type="http://schemas.openxmlformats.org/officeDocument/2006/relationships/image" Target="media/image232.jpeg" /><Relationship Id="rId236" Type="http://schemas.openxmlformats.org/officeDocument/2006/relationships/image" Target="media/image233.jpeg" /><Relationship Id="rId237" Type="http://schemas.openxmlformats.org/officeDocument/2006/relationships/image" Target="media/image234.jpeg" /><Relationship Id="rId238" Type="http://schemas.openxmlformats.org/officeDocument/2006/relationships/image" Target="media/image235.jpeg" /><Relationship Id="rId239" Type="http://schemas.openxmlformats.org/officeDocument/2006/relationships/image" Target="media/image236.jpeg" /><Relationship Id="rId24" Type="http://schemas.openxmlformats.org/officeDocument/2006/relationships/image" Target="media/image21.jpeg" /><Relationship Id="rId240" Type="http://schemas.openxmlformats.org/officeDocument/2006/relationships/image" Target="media/image237.jpeg" /><Relationship Id="rId241" Type="http://schemas.openxmlformats.org/officeDocument/2006/relationships/image" Target="media/image238.jpeg" /><Relationship Id="rId242" Type="http://schemas.openxmlformats.org/officeDocument/2006/relationships/image" Target="media/image239.jpeg" /><Relationship Id="rId243" Type="http://schemas.openxmlformats.org/officeDocument/2006/relationships/image" Target="media/image240.jpeg" /><Relationship Id="rId244" Type="http://schemas.openxmlformats.org/officeDocument/2006/relationships/image" Target="media/image241.jpeg" /><Relationship Id="rId245" Type="http://schemas.openxmlformats.org/officeDocument/2006/relationships/image" Target="media/image242.jpeg" /><Relationship Id="rId246" Type="http://schemas.openxmlformats.org/officeDocument/2006/relationships/image" Target="media/image243.jpeg" /><Relationship Id="rId247" Type="http://schemas.openxmlformats.org/officeDocument/2006/relationships/image" Target="media/image244.jpeg" /><Relationship Id="rId248" Type="http://schemas.openxmlformats.org/officeDocument/2006/relationships/image" Target="media/image245.jpeg" /><Relationship Id="rId249" Type="http://schemas.openxmlformats.org/officeDocument/2006/relationships/image" Target="media/image246.jpeg" /><Relationship Id="rId25" Type="http://schemas.openxmlformats.org/officeDocument/2006/relationships/image" Target="media/image22.jpeg" /><Relationship Id="rId250" Type="http://schemas.openxmlformats.org/officeDocument/2006/relationships/image" Target="media/image247.jpeg" /><Relationship Id="rId251" Type="http://schemas.openxmlformats.org/officeDocument/2006/relationships/image" Target="media/image248.jpeg" /><Relationship Id="rId252" Type="http://schemas.openxmlformats.org/officeDocument/2006/relationships/image" Target="media/image249.jpeg" /><Relationship Id="rId253" Type="http://schemas.openxmlformats.org/officeDocument/2006/relationships/image" Target="media/image250.jpeg" /><Relationship Id="rId254" Type="http://schemas.openxmlformats.org/officeDocument/2006/relationships/image" Target="media/image251.jpeg" /><Relationship Id="rId255" Type="http://schemas.openxmlformats.org/officeDocument/2006/relationships/image" Target="media/image252.jpeg" /><Relationship Id="rId256" Type="http://schemas.openxmlformats.org/officeDocument/2006/relationships/image" Target="media/image253.jpeg" /><Relationship Id="rId257" Type="http://schemas.openxmlformats.org/officeDocument/2006/relationships/image" Target="media/image254.jpeg" /><Relationship Id="rId258" Type="http://schemas.openxmlformats.org/officeDocument/2006/relationships/image" Target="media/image255.jpeg" /><Relationship Id="rId259" Type="http://schemas.openxmlformats.org/officeDocument/2006/relationships/image" Target="media/image256.jpeg" /><Relationship Id="rId26" Type="http://schemas.openxmlformats.org/officeDocument/2006/relationships/image" Target="media/image23.jpeg" /><Relationship Id="rId260" Type="http://schemas.openxmlformats.org/officeDocument/2006/relationships/image" Target="media/image257.jpeg" /><Relationship Id="rId261" Type="http://schemas.openxmlformats.org/officeDocument/2006/relationships/image" Target="media/image258.jpeg" /><Relationship Id="rId262" Type="http://schemas.openxmlformats.org/officeDocument/2006/relationships/image" Target="media/image259.jpeg" /><Relationship Id="rId263" Type="http://schemas.openxmlformats.org/officeDocument/2006/relationships/image" Target="media/image260.jpeg" /><Relationship Id="rId264" Type="http://schemas.openxmlformats.org/officeDocument/2006/relationships/image" Target="media/image261.jpeg" /><Relationship Id="rId265" Type="http://schemas.openxmlformats.org/officeDocument/2006/relationships/image" Target="media/image262.jpeg" /><Relationship Id="rId266" Type="http://schemas.openxmlformats.org/officeDocument/2006/relationships/image" Target="media/image263.jpeg" /><Relationship Id="rId267" Type="http://schemas.openxmlformats.org/officeDocument/2006/relationships/image" Target="media/image264.jpeg" /><Relationship Id="rId268" Type="http://schemas.openxmlformats.org/officeDocument/2006/relationships/image" Target="media/image265.jpeg" /><Relationship Id="rId269" Type="http://schemas.openxmlformats.org/officeDocument/2006/relationships/image" Target="media/image266.jpeg" /><Relationship Id="rId27" Type="http://schemas.openxmlformats.org/officeDocument/2006/relationships/image" Target="media/image24.jpeg" /><Relationship Id="rId270" Type="http://schemas.openxmlformats.org/officeDocument/2006/relationships/image" Target="media/image267.jpeg" /><Relationship Id="rId271" Type="http://schemas.openxmlformats.org/officeDocument/2006/relationships/image" Target="media/image268.jpeg" /><Relationship Id="rId272" Type="http://schemas.openxmlformats.org/officeDocument/2006/relationships/image" Target="media/image269.jpeg" /><Relationship Id="rId273" Type="http://schemas.openxmlformats.org/officeDocument/2006/relationships/image" Target="media/image270.jpeg" /><Relationship Id="rId274" Type="http://schemas.openxmlformats.org/officeDocument/2006/relationships/image" Target="media/image271.jpeg" /><Relationship Id="rId275" Type="http://schemas.openxmlformats.org/officeDocument/2006/relationships/image" Target="media/image272.jpeg" /><Relationship Id="rId276" Type="http://schemas.openxmlformats.org/officeDocument/2006/relationships/image" Target="media/image273.jpeg" /><Relationship Id="rId277" Type="http://schemas.openxmlformats.org/officeDocument/2006/relationships/image" Target="media/image274.jpeg" /><Relationship Id="rId278" Type="http://schemas.openxmlformats.org/officeDocument/2006/relationships/image" Target="media/image275.jpeg" /><Relationship Id="rId279" Type="http://schemas.openxmlformats.org/officeDocument/2006/relationships/image" Target="media/image276.jpeg" /><Relationship Id="rId28" Type="http://schemas.openxmlformats.org/officeDocument/2006/relationships/image" Target="media/image25.jpeg" /><Relationship Id="rId280" Type="http://schemas.openxmlformats.org/officeDocument/2006/relationships/image" Target="media/image277.jpeg" /><Relationship Id="rId281" Type="http://schemas.openxmlformats.org/officeDocument/2006/relationships/image" Target="media/image278.jpeg" /><Relationship Id="rId282" Type="http://schemas.openxmlformats.org/officeDocument/2006/relationships/image" Target="media/image279.jpeg" /><Relationship Id="rId283" Type="http://schemas.openxmlformats.org/officeDocument/2006/relationships/image" Target="media/image280.jpeg" /><Relationship Id="rId284" Type="http://schemas.openxmlformats.org/officeDocument/2006/relationships/image" Target="media/image281.jpeg" /><Relationship Id="rId285" Type="http://schemas.openxmlformats.org/officeDocument/2006/relationships/image" Target="media/image282.jpeg" /><Relationship Id="rId286" Type="http://schemas.openxmlformats.org/officeDocument/2006/relationships/image" Target="media/image283.jpeg" /><Relationship Id="rId287" Type="http://schemas.openxmlformats.org/officeDocument/2006/relationships/image" Target="media/image284.jpeg" /><Relationship Id="rId288" Type="http://schemas.openxmlformats.org/officeDocument/2006/relationships/image" Target="media/image285.jpeg" /><Relationship Id="rId289" Type="http://schemas.openxmlformats.org/officeDocument/2006/relationships/image" Target="media/image286.jpeg" /><Relationship Id="rId29" Type="http://schemas.openxmlformats.org/officeDocument/2006/relationships/image" Target="media/image26.jpeg" /><Relationship Id="rId290" Type="http://schemas.openxmlformats.org/officeDocument/2006/relationships/image" Target="media/image287.jpeg" /><Relationship Id="rId291" Type="http://schemas.openxmlformats.org/officeDocument/2006/relationships/image" Target="media/image288.jpeg" /><Relationship Id="rId292" Type="http://schemas.openxmlformats.org/officeDocument/2006/relationships/image" Target="media/image289.jpeg" /><Relationship Id="rId293" Type="http://schemas.openxmlformats.org/officeDocument/2006/relationships/image" Target="media/image290.jpeg" /><Relationship Id="rId294" Type="http://schemas.openxmlformats.org/officeDocument/2006/relationships/image" Target="media/image291.jpeg" /><Relationship Id="rId295" Type="http://schemas.openxmlformats.org/officeDocument/2006/relationships/image" Target="media/image292.jpeg" /><Relationship Id="rId296" Type="http://schemas.openxmlformats.org/officeDocument/2006/relationships/image" Target="media/image293.jpeg" /><Relationship Id="rId297" Type="http://schemas.openxmlformats.org/officeDocument/2006/relationships/image" Target="media/image294.jpeg" /><Relationship Id="rId298" Type="http://schemas.openxmlformats.org/officeDocument/2006/relationships/image" Target="media/image295.jpeg" /><Relationship Id="rId299" Type="http://schemas.openxmlformats.org/officeDocument/2006/relationships/image" Target="media/image296.jpeg" /><Relationship Id="rId3" Type="http://schemas.openxmlformats.org/officeDocument/2006/relationships/fontTable" Target="fontTable.xml" /><Relationship Id="rId30" Type="http://schemas.openxmlformats.org/officeDocument/2006/relationships/image" Target="media/image27.jpeg" /><Relationship Id="rId300" Type="http://schemas.openxmlformats.org/officeDocument/2006/relationships/image" Target="media/image297.jpeg" /><Relationship Id="rId301" Type="http://schemas.openxmlformats.org/officeDocument/2006/relationships/image" Target="media/image298.jpeg" /><Relationship Id="rId302" Type="http://schemas.openxmlformats.org/officeDocument/2006/relationships/image" Target="media/image299.jpeg" /><Relationship Id="rId303" Type="http://schemas.openxmlformats.org/officeDocument/2006/relationships/image" Target="media/image300.jpeg" /><Relationship Id="rId304" Type="http://schemas.openxmlformats.org/officeDocument/2006/relationships/image" Target="media/image301.jpeg" /><Relationship Id="rId305" Type="http://schemas.openxmlformats.org/officeDocument/2006/relationships/image" Target="media/image302.jpeg" /><Relationship Id="rId306" Type="http://schemas.openxmlformats.org/officeDocument/2006/relationships/image" Target="media/image303.jpeg" /><Relationship Id="rId307" Type="http://schemas.openxmlformats.org/officeDocument/2006/relationships/theme" Target="theme/theme1.xml" /><Relationship Id="rId308" Type="http://schemas.openxmlformats.org/officeDocument/2006/relationships/styles" Target="styles.xml"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